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AD8" w:rsidRDefault="00685AD8" w:rsidP="005E3F13">
      <w:pPr>
        <w:tabs>
          <w:tab w:val="left" w:pos="8256"/>
        </w:tabs>
      </w:pPr>
      <w:r>
        <w:tab/>
      </w:r>
    </w:p>
    <w:p w:rsidR="00685AD8" w:rsidRPr="00311CED" w:rsidRDefault="00685AD8" w:rsidP="00685AD8">
      <w:pPr>
        <w:jc w:val="center"/>
        <w:rPr>
          <w:rFonts w:ascii="Times New Roman" w:hAnsi="Times New Roman"/>
          <w:b/>
          <w:sz w:val="24"/>
          <w:szCs w:val="24"/>
          <w:lang w:val="en-GB"/>
        </w:rPr>
      </w:pPr>
      <w:r w:rsidRPr="00311CED">
        <w:rPr>
          <w:rFonts w:ascii="Times New Roman" w:hAnsi="Times New Roman"/>
          <w:b/>
          <w:sz w:val="24"/>
          <w:szCs w:val="24"/>
          <w:lang w:val="en-GB" w:eastAsia="ko-KR"/>
        </w:rPr>
        <w:t>A</w:t>
      </w:r>
      <w:r w:rsidRPr="00311CED">
        <w:rPr>
          <w:rFonts w:ascii="Times New Roman" w:hAnsi="Times New Roman"/>
          <w:b/>
          <w:sz w:val="24"/>
          <w:szCs w:val="24"/>
          <w:lang w:val="en-GB"/>
        </w:rPr>
        <w:t>NNEX 10-B</w:t>
      </w:r>
    </w:p>
    <w:p w:rsidR="00685AD8" w:rsidRPr="00311CED" w:rsidRDefault="00685AD8" w:rsidP="00685AD8">
      <w:pPr>
        <w:autoSpaceDE w:val="0"/>
        <w:autoSpaceDN w:val="0"/>
        <w:adjustRightInd w:val="0"/>
        <w:spacing w:after="0" w:line="240" w:lineRule="auto"/>
        <w:jc w:val="center"/>
        <w:rPr>
          <w:rFonts w:ascii="Times New Roman" w:hAnsi="Times New Roman"/>
          <w:b/>
          <w:bCs/>
          <w:sz w:val="24"/>
          <w:szCs w:val="24"/>
          <w:lang w:val="en-GB" w:eastAsia="tr-TR"/>
        </w:rPr>
      </w:pPr>
      <w:r w:rsidRPr="00311CED">
        <w:rPr>
          <w:rFonts w:ascii="Times New Roman" w:hAnsi="Times New Roman"/>
          <w:b/>
          <w:bCs/>
          <w:sz w:val="24"/>
          <w:szCs w:val="24"/>
          <w:lang w:val="en-GB" w:eastAsia="tr-TR"/>
        </w:rPr>
        <w:t xml:space="preserve">NON-CONFORMING MEASURES </w:t>
      </w:r>
      <w:r>
        <w:rPr>
          <w:rFonts w:ascii="Times New Roman" w:hAnsi="Times New Roman"/>
          <w:b/>
          <w:bCs/>
          <w:sz w:val="24"/>
          <w:szCs w:val="24"/>
          <w:lang w:val="en-GB" w:eastAsia="tr-TR"/>
        </w:rPr>
        <w:t>FOR</w:t>
      </w:r>
      <w:r w:rsidRPr="00311CED">
        <w:rPr>
          <w:rFonts w:ascii="Times New Roman" w:hAnsi="Times New Roman"/>
          <w:b/>
          <w:bCs/>
          <w:sz w:val="24"/>
          <w:szCs w:val="24"/>
          <w:lang w:val="en-GB" w:eastAsia="tr-TR"/>
        </w:rPr>
        <w:t xml:space="preserve"> FINANCIAL SERVICES</w:t>
      </w:r>
    </w:p>
    <w:p w:rsidR="00685AD8" w:rsidRPr="00311CED" w:rsidRDefault="00685AD8" w:rsidP="00685AD8">
      <w:pPr>
        <w:autoSpaceDE w:val="0"/>
        <w:autoSpaceDN w:val="0"/>
        <w:adjustRightInd w:val="0"/>
        <w:spacing w:after="0" w:line="240" w:lineRule="auto"/>
        <w:jc w:val="center"/>
        <w:rPr>
          <w:rFonts w:ascii="Times New Roman" w:hAnsi="Times New Roman"/>
          <w:b/>
          <w:bCs/>
          <w:sz w:val="24"/>
          <w:szCs w:val="24"/>
          <w:lang w:val="en-GB" w:eastAsia="tr-TR"/>
        </w:rPr>
      </w:pPr>
      <w:r w:rsidRPr="00311CED">
        <w:rPr>
          <w:rFonts w:ascii="Times New Roman" w:hAnsi="Times New Roman"/>
          <w:b/>
          <w:bCs/>
          <w:sz w:val="24"/>
          <w:szCs w:val="24"/>
          <w:lang w:val="en-GB" w:eastAsia="tr-TR"/>
        </w:rPr>
        <w:t>SCHEDULE OF TURKEY</w:t>
      </w:r>
    </w:p>
    <w:p w:rsidR="00685AD8" w:rsidRPr="00311CED" w:rsidRDefault="00685AD8" w:rsidP="00685AD8">
      <w:pPr>
        <w:autoSpaceDE w:val="0"/>
        <w:autoSpaceDN w:val="0"/>
        <w:adjustRightInd w:val="0"/>
        <w:spacing w:after="0" w:line="240" w:lineRule="auto"/>
        <w:jc w:val="center"/>
        <w:rPr>
          <w:rFonts w:ascii="Times New Roman" w:hAnsi="Times New Roman"/>
          <w:b/>
          <w:bCs/>
          <w:sz w:val="24"/>
          <w:szCs w:val="24"/>
          <w:lang w:val="en-GB" w:eastAsia="tr-TR"/>
        </w:rPr>
      </w:pPr>
    </w:p>
    <w:p w:rsidR="00685AD8" w:rsidRPr="00CC6F90" w:rsidRDefault="00685AD8" w:rsidP="00685AD8">
      <w:pPr>
        <w:spacing w:after="0" w:line="240" w:lineRule="auto"/>
        <w:jc w:val="center"/>
        <w:rPr>
          <w:rFonts w:ascii="Times New Roman" w:hAnsi="Times New Roman"/>
          <w:b/>
          <w:sz w:val="24"/>
          <w:szCs w:val="24"/>
          <w:lang w:val="en-GB"/>
        </w:rPr>
      </w:pPr>
      <w:r w:rsidRPr="00CC6F90">
        <w:rPr>
          <w:rFonts w:ascii="Times New Roman" w:hAnsi="Times New Roman"/>
          <w:b/>
          <w:sz w:val="24"/>
          <w:szCs w:val="24"/>
          <w:lang w:val="en-GB"/>
        </w:rPr>
        <w:t xml:space="preserve">Explanatory </w:t>
      </w:r>
      <w:r>
        <w:rPr>
          <w:rFonts w:ascii="Times New Roman" w:hAnsi="Times New Roman"/>
          <w:b/>
          <w:sz w:val="24"/>
          <w:szCs w:val="24"/>
          <w:lang w:val="en-GB"/>
        </w:rPr>
        <w:t>N</w:t>
      </w:r>
      <w:r w:rsidRPr="00CC6F90">
        <w:rPr>
          <w:rFonts w:ascii="Times New Roman" w:hAnsi="Times New Roman"/>
          <w:b/>
          <w:sz w:val="24"/>
          <w:szCs w:val="24"/>
          <w:lang w:val="en-GB"/>
        </w:rPr>
        <w:t>otes</w:t>
      </w:r>
    </w:p>
    <w:p w:rsidR="00685AD8" w:rsidRPr="00311CED" w:rsidRDefault="00685AD8" w:rsidP="00685AD8">
      <w:pPr>
        <w:spacing w:after="0" w:line="240" w:lineRule="auto"/>
        <w:jc w:val="both"/>
        <w:rPr>
          <w:rFonts w:ascii="Times New Roman" w:hAnsi="Times New Roman"/>
          <w:sz w:val="24"/>
          <w:szCs w:val="24"/>
          <w:lang w:val="en-GB"/>
        </w:rPr>
      </w:pPr>
    </w:p>
    <w:p w:rsidR="00685AD8" w:rsidRDefault="00685AD8" w:rsidP="00685AD8">
      <w:pPr>
        <w:spacing w:after="0" w:line="240" w:lineRule="auto"/>
        <w:ind w:left="720" w:hanging="720"/>
        <w:jc w:val="both"/>
        <w:rPr>
          <w:rFonts w:ascii="Times New Roman" w:hAnsi="Times New Roman"/>
          <w:sz w:val="24"/>
          <w:szCs w:val="24"/>
          <w:lang w:val="en-GB"/>
        </w:rPr>
      </w:pPr>
      <w:r w:rsidRPr="00311CED">
        <w:rPr>
          <w:rFonts w:ascii="Times New Roman" w:hAnsi="Times New Roman"/>
          <w:sz w:val="24"/>
          <w:szCs w:val="24"/>
          <w:lang w:val="en-GB"/>
        </w:rPr>
        <w:t>1.</w:t>
      </w:r>
      <w:r w:rsidRPr="00311CED">
        <w:rPr>
          <w:rFonts w:ascii="Times New Roman" w:hAnsi="Times New Roman"/>
          <w:sz w:val="24"/>
          <w:szCs w:val="24"/>
          <w:lang w:val="en-GB"/>
        </w:rPr>
        <w:tab/>
        <w:t>The Schedule of Turkey to this Annex sets out, pursuant to Article 10.6 (Non-Conforming Measures) of Chapter 10 (Financial Services), the reservations taken by Turkey for the specific sectors, sub-sectors, or activities for which Turkey may maintain existing, or adopt new or more restrictive measures that do not conform with the obligations imposed by</w:t>
      </w:r>
      <w:r>
        <w:rPr>
          <w:rFonts w:ascii="Times New Roman" w:hAnsi="Times New Roman"/>
          <w:sz w:val="24"/>
          <w:szCs w:val="24"/>
          <w:lang w:val="en-GB"/>
        </w:rPr>
        <w:t>:</w:t>
      </w:r>
    </w:p>
    <w:p w:rsidR="00685AD8" w:rsidRDefault="00685AD8" w:rsidP="00685AD8">
      <w:pPr>
        <w:spacing w:after="0" w:line="240" w:lineRule="auto"/>
        <w:ind w:left="720" w:hanging="720"/>
        <w:jc w:val="both"/>
        <w:rPr>
          <w:rFonts w:ascii="Times New Roman" w:hAnsi="Times New Roman"/>
          <w:sz w:val="24"/>
          <w:szCs w:val="24"/>
          <w:lang w:val="en-GB"/>
        </w:rPr>
      </w:pPr>
    </w:p>
    <w:p w:rsidR="00685AD8" w:rsidRDefault="00685AD8" w:rsidP="00685AD8">
      <w:pPr>
        <w:spacing w:after="0" w:line="240" w:lineRule="auto"/>
        <w:ind w:left="720" w:hanging="12"/>
        <w:jc w:val="both"/>
        <w:rPr>
          <w:rFonts w:ascii="Times New Roman" w:hAnsi="Times New Roman"/>
          <w:sz w:val="24"/>
          <w:szCs w:val="24"/>
          <w:lang w:val="en-GB"/>
        </w:rPr>
      </w:pPr>
      <w:r>
        <w:rPr>
          <w:rFonts w:ascii="Times New Roman" w:hAnsi="Times New Roman"/>
          <w:sz w:val="24"/>
          <w:szCs w:val="24"/>
          <w:lang w:val="en-GB"/>
        </w:rPr>
        <w:t>(a)</w:t>
      </w:r>
      <w:r>
        <w:rPr>
          <w:rFonts w:ascii="Times New Roman" w:hAnsi="Times New Roman"/>
          <w:sz w:val="24"/>
          <w:szCs w:val="24"/>
          <w:lang w:val="en-GB"/>
        </w:rPr>
        <w:tab/>
      </w:r>
      <w:r w:rsidRPr="00311CED">
        <w:rPr>
          <w:rFonts w:ascii="Times New Roman" w:hAnsi="Times New Roman"/>
          <w:sz w:val="24"/>
          <w:szCs w:val="24"/>
          <w:lang w:val="en-GB"/>
        </w:rPr>
        <w:t>Article 10.3 (National Treatment)</w:t>
      </w:r>
      <w:r w:rsidRPr="007F7344">
        <w:rPr>
          <w:rFonts w:ascii="Times New Roman" w:hAnsi="Times New Roman"/>
          <w:sz w:val="24"/>
          <w:szCs w:val="24"/>
          <w:lang w:val="en-GB"/>
        </w:rPr>
        <w:t xml:space="preserve"> </w:t>
      </w:r>
      <w:r w:rsidRPr="00311CED">
        <w:rPr>
          <w:rFonts w:ascii="Times New Roman" w:hAnsi="Times New Roman"/>
          <w:sz w:val="24"/>
          <w:szCs w:val="24"/>
          <w:lang w:val="en-GB"/>
        </w:rPr>
        <w:t>of Chapter 10 (Financial Services),</w:t>
      </w:r>
    </w:p>
    <w:p w:rsidR="00685AD8" w:rsidRDefault="00685AD8" w:rsidP="00685AD8">
      <w:pPr>
        <w:spacing w:after="0" w:line="240" w:lineRule="auto"/>
        <w:ind w:left="720" w:hanging="12"/>
        <w:jc w:val="both"/>
        <w:rPr>
          <w:rFonts w:ascii="Times New Roman" w:hAnsi="Times New Roman"/>
          <w:sz w:val="24"/>
          <w:szCs w:val="24"/>
          <w:lang w:val="en-GB"/>
        </w:rPr>
      </w:pPr>
      <w:r w:rsidRPr="00311CED">
        <w:rPr>
          <w:rFonts w:ascii="Times New Roman" w:hAnsi="Times New Roman"/>
          <w:sz w:val="24"/>
          <w:szCs w:val="24"/>
          <w:lang w:val="en-GB"/>
        </w:rPr>
        <w:t xml:space="preserve"> </w:t>
      </w:r>
    </w:p>
    <w:p w:rsidR="00685AD8" w:rsidRDefault="00685AD8" w:rsidP="00685AD8">
      <w:pPr>
        <w:spacing w:after="0" w:line="240" w:lineRule="auto"/>
        <w:ind w:left="720" w:hanging="12"/>
        <w:jc w:val="both"/>
        <w:rPr>
          <w:rFonts w:ascii="Times New Roman" w:hAnsi="Times New Roman"/>
          <w:sz w:val="24"/>
          <w:szCs w:val="24"/>
          <w:lang w:val="en-GB"/>
        </w:rPr>
      </w:pPr>
      <w:r>
        <w:rPr>
          <w:rFonts w:ascii="Times New Roman" w:hAnsi="Times New Roman"/>
          <w:sz w:val="24"/>
          <w:szCs w:val="24"/>
          <w:lang w:val="en-GB"/>
        </w:rPr>
        <w:t xml:space="preserve">(b) </w:t>
      </w:r>
      <w:r>
        <w:rPr>
          <w:rFonts w:ascii="Times New Roman" w:hAnsi="Times New Roman"/>
          <w:sz w:val="24"/>
          <w:szCs w:val="24"/>
          <w:lang w:val="en-GB"/>
        </w:rPr>
        <w:tab/>
      </w:r>
      <w:r w:rsidRPr="00311CED">
        <w:rPr>
          <w:rFonts w:ascii="Times New Roman" w:hAnsi="Times New Roman"/>
          <w:sz w:val="24"/>
          <w:szCs w:val="24"/>
          <w:lang w:val="en-GB"/>
        </w:rPr>
        <w:t>Article 10.4 (Market Access for Financial Institutions)</w:t>
      </w:r>
      <w:r w:rsidRPr="007F7344">
        <w:rPr>
          <w:rFonts w:ascii="Times New Roman" w:hAnsi="Times New Roman"/>
          <w:sz w:val="24"/>
          <w:szCs w:val="24"/>
          <w:lang w:val="en-GB"/>
        </w:rPr>
        <w:t xml:space="preserve"> </w:t>
      </w:r>
      <w:r w:rsidRPr="00311CED">
        <w:rPr>
          <w:rFonts w:ascii="Times New Roman" w:hAnsi="Times New Roman"/>
          <w:sz w:val="24"/>
          <w:szCs w:val="24"/>
          <w:lang w:val="en-GB"/>
        </w:rPr>
        <w:t xml:space="preserve">of Chapter 10 (Financial Services), or </w:t>
      </w:r>
    </w:p>
    <w:p w:rsidR="00685AD8" w:rsidRDefault="00685AD8" w:rsidP="00685AD8">
      <w:pPr>
        <w:spacing w:after="0" w:line="240" w:lineRule="auto"/>
        <w:ind w:left="720" w:hanging="12"/>
        <w:jc w:val="both"/>
        <w:rPr>
          <w:rFonts w:ascii="Times New Roman" w:hAnsi="Times New Roman"/>
          <w:sz w:val="24"/>
          <w:szCs w:val="24"/>
          <w:lang w:val="en-GB"/>
        </w:rPr>
      </w:pPr>
    </w:p>
    <w:p w:rsidR="00685AD8" w:rsidRDefault="00685AD8" w:rsidP="00685AD8">
      <w:pPr>
        <w:spacing w:after="0" w:line="240" w:lineRule="auto"/>
        <w:ind w:left="720" w:hanging="12"/>
        <w:jc w:val="both"/>
        <w:rPr>
          <w:rFonts w:ascii="Times New Roman" w:hAnsi="Times New Roman"/>
          <w:sz w:val="24"/>
          <w:szCs w:val="24"/>
          <w:lang w:val="en-GB"/>
        </w:rPr>
      </w:pPr>
      <w:r>
        <w:rPr>
          <w:rFonts w:ascii="Times New Roman" w:hAnsi="Times New Roman"/>
          <w:sz w:val="24"/>
          <w:szCs w:val="24"/>
          <w:lang w:val="en-GB"/>
        </w:rPr>
        <w:t xml:space="preserve">(c) </w:t>
      </w:r>
      <w:r>
        <w:rPr>
          <w:rFonts w:ascii="Times New Roman" w:hAnsi="Times New Roman"/>
          <w:sz w:val="24"/>
          <w:szCs w:val="24"/>
          <w:lang w:val="en-GB"/>
        </w:rPr>
        <w:tab/>
      </w:r>
      <w:r w:rsidRPr="00311CED">
        <w:rPr>
          <w:rFonts w:ascii="Times New Roman" w:hAnsi="Times New Roman"/>
          <w:sz w:val="24"/>
          <w:szCs w:val="24"/>
          <w:lang w:val="en-GB"/>
        </w:rPr>
        <w:t xml:space="preserve">Article 10.5 (Cross-Border Trade in Financial Services) of Chapter 10 (Financial Services).  </w:t>
      </w:r>
    </w:p>
    <w:p w:rsidR="00685AD8" w:rsidRDefault="00685AD8" w:rsidP="00685AD8">
      <w:pPr>
        <w:spacing w:after="0" w:line="240" w:lineRule="auto"/>
        <w:ind w:left="720" w:hanging="12"/>
        <w:jc w:val="both"/>
        <w:rPr>
          <w:rFonts w:ascii="Times New Roman" w:hAnsi="Times New Roman"/>
          <w:sz w:val="24"/>
          <w:szCs w:val="24"/>
          <w:lang w:val="en-GB"/>
        </w:rPr>
      </w:pPr>
    </w:p>
    <w:p w:rsidR="00685AD8" w:rsidRPr="00311CED" w:rsidRDefault="00685AD8" w:rsidP="00685AD8">
      <w:pPr>
        <w:spacing w:after="0" w:line="240" w:lineRule="auto"/>
        <w:ind w:left="709" w:hanging="709"/>
        <w:jc w:val="both"/>
        <w:rPr>
          <w:rFonts w:ascii="Times New Roman" w:hAnsi="Times New Roman"/>
          <w:sz w:val="24"/>
          <w:szCs w:val="24"/>
          <w:lang w:val="en-GB"/>
        </w:rPr>
      </w:pPr>
      <w:r>
        <w:rPr>
          <w:rFonts w:ascii="Times New Roman" w:hAnsi="Times New Roman"/>
          <w:color w:val="000000"/>
          <w:sz w:val="24"/>
          <w:szCs w:val="24"/>
        </w:rPr>
        <w:t>2.</w:t>
      </w:r>
      <w:r>
        <w:rPr>
          <w:rFonts w:ascii="Times New Roman" w:hAnsi="Times New Roman"/>
          <w:color w:val="000000"/>
          <w:sz w:val="24"/>
          <w:szCs w:val="24"/>
        </w:rPr>
        <w:tab/>
      </w:r>
      <w:proofErr w:type="spellStart"/>
      <w:r w:rsidRPr="00013A03">
        <w:rPr>
          <w:rFonts w:ascii="Times New Roman" w:hAnsi="Times New Roman"/>
          <w:color w:val="000000"/>
          <w:sz w:val="24"/>
          <w:szCs w:val="24"/>
        </w:rPr>
        <w:t>The</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sectors</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subsectors</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or</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activities</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to</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which</w:t>
      </w:r>
      <w:proofErr w:type="spellEnd"/>
      <w:r w:rsidRPr="00013A03">
        <w:rPr>
          <w:rFonts w:ascii="Times New Roman" w:hAnsi="Times New Roman"/>
          <w:color w:val="000000"/>
          <w:sz w:val="24"/>
          <w:szCs w:val="24"/>
        </w:rPr>
        <w:t xml:space="preserve"> a </w:t>
      </w:r>
      <w:proofErr w:type="spellStart"/>
      <w:r w:rsidRPr="00013A03">
        <w:rPr>
          <w:rFonts w:ascii="Times New Roman" w:hAnsi="Times New Roman"/>
          <w:color w:val="000000"/>
          <w:sz w:val="24"/>
          <w:szCs w:val="24"/>
        </w:rPr>
        <w:t>reservation</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applies</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shall</w:t>
      </w:r>
      <w:proofErr w:type="spellEnd"/>
      <w:r w:rsidRPr="00013A03">
        <w:rPr>
          <w:rFonts w:ascii="Times New Roman" w:hAnsi="Times New Roman"/>
          <w:color w:val="000000"/>
          <w:sz w:val="24"/>
          <w:szCs w:val="24"/>
        </w:rPr>
        <w:t xml:space="preserve"> be </w:t>
      </w:r>
      <w:proofErr w:type="spellStart"/>
      <w:r w:rsidRPr="00013A03">
        <w:rPr>
          <w:rFonts w:ascii="Times New Roman" w:hAnsi="Times New Roman"/>
          <w:color w:val="000000"/>
          <w:sz w:val="24"/>
          <w:szCs w:val="24"/>
        </w:rPr>
        <w:t>stated</w:t>
      </w:r>
      <w:proofErr w:type="spellEnd"/>
      <w:r w:rsidRPr="00013A03">
        <w:rPr>
          <w:rFonts w:ascii="Times New Roman" w:hAnsi="Times New Roman"/>
          <w:color w:val="000000"/>
          <w:sz w:val="24"/>
          <w:szCs w:val="24"/>
        </w:rPr>
        <w:t xml:space="preserve"> in </w:t>
      </w:r>
      <w:proofErr w:type="spellStart"/>
      <w:r w:rsidRPr="00013A03">
        <w:rPr>
          <w:rFonts w:ascii="Times New Roman" w:hAnsi="Times New Roman"/>
          <w:color w:val="000000"/>
          <w:sz w:val="24"/>
          <w:szCs w:val="24"/>
        </w:rPr>
        <w:t>the</w:t>
      </w:r>
      <w:proofErr w:type="spellEnd"/>
      <w:r w:rsidRPr="00013A03">
        <w:rPr>
          <w:rFonts w:ascii="Times New Roman" w:hAnsi="Times New Roman"/>
          <w:color w:val="000000"/>
          <w:sz w:val="24"/>
          <w:szCs w:val="24"/>
        </w:rPr>
        <w:t xml:space="preserve"> </w:t>
      </w:r>
      <w:proofErr w:type="spellStart"/>
      <w:r w:rsidRPr="00B214FF">
        <w:rPr>
          <w:rFonts w:ascii="Times New Roman" w:hAnsi="Times New Roman"/>
          <w:b/>
          <w:color w:val="000000"/>
          <w:sz w:val="24"/>
          <w:szCs w:val="24"/>
        </w:rPr>
        <w:t>Description</w:t>
      </w:r>
      <w:proofErr w:type="spellEnd"/>
      <w:r w:rsidRPr="00B214FF">
        <w:rPr>
          <w:rFonts w:ascii="Times New Roman" w:hAnsi="Times New Roman"/>
          <w:b/>
          <w:color w:val="000000"/>
          <w:sz w:val="24"/>
          <w:szCs w:val="24"/>
        </w:rPr>
        <w:t xml:space="preserve"> of </w:t>
      </w:r>
      <w:proofErr w:type="spellStart"/>
      <w:r w:rsidRPr="00B214FF">
        <w:rPr>
          <w:rFonts w:ascii="Times New Roman" w:hAnsi="Times New Roman"/>
          <w:b/>
          <w:color w:val="000000"/>
          <w:sz w:val="24"/>
          <w:szCs w:val="24"/>
        </w:rPr>
        <w:t>Reservation</w:t>
      </w:r>
      <w:proofErr w:type="spellEnd"/>
      <w:r w:rsidRPr="00013A03">
        <w:rPr>
          <w:rFonts w:ascii="Times New Roman" w:hAnsi="Times New Roman"/>
          <w:color w:val="000000"/>
          <w:sz w:val="24"/>
          <w:szCs w:val="24"/>
        </w:rPr>
        <w:t xml:space="preserve"> element. </w:t>
      </w:r>
      <w:proofErr w:type="spellStart"/>
      <w:r w:rsidRPr="00013A03">
        <w:rPr>
          <w:rFonts w:ascii="Times New Roman" w:hAnsi="Times New Roman"/>
          <w:color w:val="000000"/>
          <w:sz w:val="24"/>
          <w:szCs w:val="24"/>
        </w:rPr>
        <w:t>In</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the</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interpretation</w:t>
      </w:r>
      <w:proofErr w:type="spellEnd"/>
      <w:r w:rsidRPr="00013A03">
        <w:rPr>
          <w:rFonts w:ascii="Times New Roman" w:hAnsi="Times New Roman"/>
          <w:color w:val="000000"/>
          <w:sz w:val="24"/>
          <w:szCs w:val="24"/>
        </w:rPr>
        <w:t xml:space="preserve"> of a </w:t>
      </w:r>
      <w:proofErr w:type="spellStart"/>
      <w:r w:rsidRPr="00013A03">
        <w:rPr>
          <w:rFonts w:ascii="Times New Roman" w:hAnsi="Times New Roman"/>
          <w:color w:val="000000"/>
          <w:sz w:val="24"/>
          <w:szCs w:val="24"/>
        </w:rPr>
        <w:t>reservation</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all</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elements</w:t>
      </w:r>
      <w:proofErr w:type="spellEnd"/>
      <w:r w:rsidRPr="00013A03">
        <w:rPr>
          <w:rFonts w:ascii="Times New Roman" w:hAnsi="Times New Roman"/>
          <w:color w:val="000000"/>
          <w:sz w:val="24"/>
          <w:szCs w:val="24"/>
        </w:rPr>
        <w:t xml:space="preserve"> of </w:t>
      </w:r>
      <w:proofErr w:type="spellStart"/>
      <w:r w:rsidRPr="00013A03">
        <w:rPr>
          <w:rFonts w:ascii="Times New Roman" w:hAnsi="Times New Roman"/>
          <w:color w:val="000000"/>
          <w:sz w:val="24"/>
          <w:szCs w:val="24"/>
        </w:rPr>
        <w:t>the</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reservation</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shall</w:t>
      </w:r>
      <w:proofErr w:type="spellEnd"/>
      <w:r w:rsidRPr="00013A03">
        <w:rPr>
          <w:rFonts w:ascii="Times New Roman" w:hAnsi="Times New Roman"/>
          <w:color w:val="000000"/>
          <w:sz w:val="24"/>
          <w:szCs w:val="24"/>
        </w:rPr>
        <w:t xml:space="preserve"> be </w:t>
      </w:r>
      <w:proofErr w:type="spellStart"/>
      <w:r w:rsidRPr="00013A03">
        <w:rPr>
          <w:rFonts w:ascii="Times New Roman" w:hAnsi="Times New Roman"/>
          <w:color w:val="000000"/>
          <w:sz w:val="24"/>
          <w:szCs w:val="24"/>
        </w:rPr>
        <w:t>considered</w:t>
      </w:r>
      <w:proofErr w:type="spellEnd"/>
      <w:r w:rsidRPr="00013A03">
        <w:rPr>
          <w:rFonts w:ascii="Times New Roman" w:hAnsi="Times New Roman"/>
          <w:color w:val="000000"/>
          <w:sz w:val="24"/>
          <w:szCs w:val="24"/>
        </w:rPr>
        <w:t xml:space="preserve"> in </w:t>
      </w:r>
      <w:proofErr w:type="spellStart"/>
      <w:r w:rsidRPr="00013A03">
        <w:rPr>
          <w:rFonts w:ascii="Times New Roman" w:hAnsi="Times New Roman"/>
          <w:color w:val="000000"/>
          <w:sz w:val="24"/>
          <w:szCs w:val="24"/>
        </w:rPr>
        <w:t>their</w:t>
      </w:r>
      <w:proofErr w:type="spellEnd"/>
      <w:r w:rsidRPr="00013A03">
        <w:rPr>
          <w:rFonts w:ascii="Times New Roman" w:hAnsi="Times New Roman"/>
          <w:color w:val="000000"/>
          <w:sz w:val="24"/>
          <w:szCs w:val="24"/>
        </w:rPr>
        <w:t xml:space="preserve"> </w:t>
      </w:r>
      <w:proofErr w:type="spellStart"/>
      <w:r w:rsidRPr="00013A03">
        <w:rPr>
          <w:rFonts w:ascii="Times New Roman" w:hAnsi="Times New Roman"/>
          <w:color w:val="000000"/>
          <w:sz w:val="24"/>
          <w:szCs w:val="24"/>
        </w:rPr>
        <w:t>totality</w:t>
      </w:r>
      <w:proofErr w:type="spellEnd"/>
      <w:r w:rsidRPr="00013A03">
        <w:rPr>
          <w:rFonts w:ascii="Times New Roman" w:hAnsi="Times New Roman"/>
          <w:color w:val="000000"/>
          <w:sz w:val="24"/>
          <w:szCs w:val="24"/>
        </w:rPr>
        <w:t>.</w:t>
      </w:r>
    </w:p>
    <w:p w:rsidR="00685AD8" w:rsidRPr="00311CED" w:rsidRDefault="00685AD8" w:rsidP="00685AD8">
      <w:pPr>
        <w:tabs>
          <w:tab w:val="left" w:pos="720"/>
          <w:tab w:val="left" w:pos="1440"/>
          <w:tab w:val="left" w:pos="2160"/>
        </w:tabs>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 </w:t>
      </w:r>
    </w:p>
    <w:p w:rsidR="00685AD8" w:rsidRPr="00311CED" w:rsidRDefault="00685AD8" w:rsidP="00685AD8">
      <w:pPr>
        <w:tabs>
          <w:tab w:val="left" w:pos="720"/>
          <w:tab w:val="left" w:pos="1440"/>
          <w:tab w:val="left" w:pos="2160"/>
        </w:tabs>
        <w:spacing w:after="240"/>
        <w:ind w:left="720" w:hanging="720"/>
        <w:jc w:val="both"/>
        <w:rPr>
          <w:rFonts w:ascii="Times New Roman" w:hAnsi="Times New Roman"/>
          <w:sz w:val="24"/>
          <w:szCs w:val="24"/>
          <w:lang w:val="en-GB"/>
        </w:rPr>
      </w:pPr>
      <w:r>
        <w:rPr>
          <w:rFonts w:ascii="Times New Roman" w:hAnsi="Times New Roman"/>
          <w:sz w:val="24"/>
          <w:szCs w:val="24"/>
          <w:lang w:val="en-GB"/>
        </w:rPr>
        <w:t>3</w:t>
      </w:r>
      <w:r w:rsidRPr="00311CED">
        <w:rPr>
          <w:rFonts w:ascii="Times New Roman" w:hAnsi="Times New Roman"/>
          <w:sz w:val="24"/>
          <w:szCs w:val="24"/>
          <w:lang w:val="en-GB"/>
        </w:rPr>
        <w:t>.</w:t>
      </w:r>
      <w:r w:rsidRPr="00311CED">
        <w:rPr>
          <w:rFonts w:ascii="Times New Roman" w:hAnsi="Times New Roman"/>
          <w:sz w:val="24"/>
          <w:szCs w:val="24"/>
          <w:lang w:val="en-GB"/>
        </w:rPr>
        <w:tab/>
        <w:t>Each Schedule entry sets out the following elements:</w:t>
      </w:r>
    </w:p>
    <w:p w:rsidR="00685AD8" w:rsidRPr="00311CED" w:rsidRDefault="00685AD8" w:rsidP="00685AD8">
      <w:pPr>
        <w:spacing w:after="0" w:line="240" w:lineRule="auto"/>
        <w:ind w:left="1440" w:hanging="720"/>
        <w:jc w:val="both"/>
        <w:rPr>
          <w:rFonts w:ascii="Times New Roman" w:hAnsi="Times New Roman"/>
          <w:sz w:val="24"/>
          <w:szCs w:val="24"/>
          <w:lang w:val="en-GB"/>
        </w:rPr>
      </w:pPr>
      <w:r w:rsidRPr="00311CED">
        <w:rPr>
          <w:rFonts w:ascii="Times New Roman" w:hAnsi="Times New Roman"/>
          <w:sz w:val="24"/>
          <w:szCs w:val="24"/>
          <w:lang w:val="en-GB"/>
        </w:rPr>
        <w:t>(a)</w:t>
      </w:r>
      <w:r w:rsidRPr="00311CED">
        <w:rPr>
          <w:rFonts w:ascii="Times New Roman" w:hAnsi="Times New Roman"/>
          <w:sz w:val="24"/>
          <w:szCs w:val="24"/>
          <w:lang w:val="en-GB"/>
        </w:rPr>
        <w:tab/>
      </w:r>
      <w:r w:rsidRPr="00AE39EF">
        <w:rPr>
          <w:rFonts w:ascii="Times New Roman" w:hAnsi="Times New Roman"/>
          <w:b/>
          <w:sz w:val="24"/>
          <w:szCs w:val="24"/>
          <w:lang w:val="en-GB"/>
        </w:rPr>
        <w:t>Sector</w:t>
      </w:r>
      <w:r w:rsidRPr="00311CED">
        <w:rPr>
          <w:rFonts w:ascii="Times New Roman" w:hAnsi="Times New Roman"/>
          <w:sz w:val="24"/>
          <w:szCs w:val="24"/>
          <w:lang w:val="en-GB"/>
        </w:rPr>
        <w:t xml:space="preserve"> refers to the </w:t>
      </w:r>
      <w:r>
        <w:rPr>
          <w:rFonts w:ascii="Times New Roman" w:hAnsi="Times New Roman"/>
          <w:sz w:val="24"/>
          <w:szCs w:val="24"/>
          <w:lang w:val="en-GB"/>
        </w:rPr>
        <w:t xml:space="preserve">general </w:t>
      </w:r>
      <w:r w:rsidRPr="00311CED">
        <w:rPr>
          <w:rFonts w:ascii="Times New Roman" w:hAnsi="Times New Roman"/>
          <w:sz w:val="24"/>
          <w:szCs w:val="24"/>
          <w:lang w:val="en-GB"/>
        </w:rPr>
        <w:t>sector for which the entry is made;</w:t>
      </w:r>
    </w:p>
    <w:p w:rsidR="00685AD8" w:rsidRPr="00311CED" w:rsidRDefault="00685AD8" w:rsidP="00685AD8">
      <w:pPr>
        <w:spacing w:after="0" w:line="240" w:lineRule="auto"/>
        <w:ind w:left="1440" w:hanging="720"/>
        <w:jc w:val="both"/>
        <w:rPr>
          <w:rFonts w:ascii="Times New Roman" w:hAnsi="Times New Roman"/>
          <w:sz w:val="24"/>
          <w:szCs w:val="24"/>
          <w:lang w:val="en-GB"/>
        </w:rPr>
      </w:pPr>
    </w:p>
    <w:p w:rsidR="00685AD8" w:rsidRPr="00311CED" w:rsidRDefault="00685AD8" w:rsidP="00685AD8">
      <w:pPr>
        <w:spacing w:after="0" w:line="240" w:lineRule="auto"/>
        <w:ind w:left="1440" w:hanging="720"/>
        <w:jc w:val="both"/>
        <w:rPr>
          <w:rFonts w:ascii="Times New Roman" w:hAnsi="Times New Roman"/>
          <w:sz w:val="24"/>
          <w:szCs w:val="24"/>
          <w:lang w:val="en-GB"/>
        </w:rPr>
      </w:pPr>
      <w:r w:rsidRPr="00311CED">
        <w:rPr>
          <w:rFonts w:ascii="Times New Roman" w:hAnsi="Times New Roman"/>
          <w:sz w:val="24"/>
          <w:szCs w:val="24"/>
          <w:lang w:val="en-GB"/>
        </w:rPr>
        <w:t>(b)</w:t>
      </w:r>
      <w:r w:rsidRPr="00311CED">
        <w:rPr>
          <w:rFonts w:ascii="Times New Roman" w:hAnsi="Times New Roman"/>
          <w:sz w:val="24"/>
          <w:szCs w:val="24"/>
          <w:lang w:val="en-GB"/>
        </w:rPr>
        <w:tab/>
      </w:r>
      <w:r w:rsidRPr="00AE39EF">
        <w:rPr>
          <w:rFonts w:ascii="Times New Roman" w:hAnsi="Times New Roman"/>
          <w:b/>
          <w:sz w:val="24"/>
          <w:szCs w:val="24"/>
          <w:lang w:val="en-GB"/>
        </w:rPr>
        <w:t>Sub-sector</w:t>
      </w:r>
      <w:r w:rsidRPr="00311CED">
        <w:rPr>
          <w:rFonts w:ascii="Times New Roman" w:hAnsi="Times New Roman"/>
          <w:sz w:val="24"/>
          <w:szCs w:val="24"/>
          <w:lang w:val="en-GB"/>
        </w:rPr>
        <w:t xml:space="preserve"> refers to the specific sub-sector for which the entry is made;</w:t>
      </w:r>
    </w:p>
    <w:p w:rsidR="00685AD8" w:rsidRPr="00311CED" w:rsidRDefault="00685AD8" w:rsidP="00685AD8">
      <w:pPr>
        <w:spacing w:after="0" w:line="240" w:lineRule="auto"/>
        <w:ind w:left="1440" w:hanging="720"/>
        <w:jc w:val="both"/>
        <w:rPr>
          <w:rFonts w:ascii="Times New Roman" w:hAnsi="Times New Roman"/>
          <w:sz w:val="24"/>
          <w:szCs w:val="24"/>
          <w:lang w:val="en-GB"/>
        </w:rPr>
      </w:pPr>
    </w:p>
    <w:p w:rsidR="00685AD8" w:rsidRPr="00311CED" w:rsidRDefault="00685AD8" w:rsidP="00685AD8">
      <w:pPr>
        <w:spacing w:after="0" w:line="240" w:lineRule="auto"/>
        <w:ind w:left="1440" w:hanging="720"/>
        <w:jc w:val="both"/>
        <w:rPr>
          <w:rFonts w:ascii="Times New Roman" w:hAnsi="Times New Roman"/>
          <w:sz w:val="24"/>
          <w:szCs w:val="24"/>
          <w:lang w:val="en-GB"/>
        </w:rPr>
      </w:pPr>
      <w:r w:rsidRPr="00311CED">
        <w:rPr>
          <w:rFonts w:ascii="Times New Roman" w:hAnsi="Times New Roman"/>
          <w:sz w:val="24"/>
          <w:szCs w:val="24"/>
          <w:lang w:val="en-GB"/>
        </w:rPr>
        <w:t>(c)</w:t>
      </w:r>
      <w:r w:rsidRPr="00311CED">
        <w:rPr>
          <w:rFonts w:ascii="Times New Roman" w:hAnsi="Times New Roman"/>
          <w:sz w:val="24"/>
          <w:szCs w:val="24"/>
          <w:lang w:val="en-GB"/>
        </w:rPr>
        <w:tab/>
      </w:r>
      <w:r w:rsidRPr="00AE39EF">
        <w:rPr>
          <w:rFonts w:ascii="Times New Roman" w:hAnsi="Times New Roman"/>
          <w:b/>
          <w:sz w:val="24"/>
          <w:szCs w:val="24"/>
          <w:lang w:val="en-GB"/>
        </w:rPr>
        <w:t>Type of Reservation</w:t>
      </w:r>
      <w:r w:rsidRPr="00311CED">
        <w:rPr>
          <w:rFonts w:ascii="Times New Roman" w:hAnsi="Times New Roman"/>
          <w:sz w:val="24"/>
          <w:szCs w:val="24"/>
          <w:lang w:val="en-GB"/>
        </w:rPr>
        <w:t xml:space="preserve"> specifies the article(s) referred to in paragraph 1 that, pursuant to paragraph 2 of Article 10.6 (Non-Conforming Measures) of Chapter 10 (Financial Services), do not apply to the sectors, subsectors, or activities scheduled in the entry;</w:t>
      </w:r>
    </w:p>
    <w:p w:rsidR="00685AD8" w:rsidRPr="00311CED" w:rsidRDefault="00685AD8" w:rsidP="00685AD8">
      <w:pPr>
        <w:spacing w:after="0" w:line="240" w:lineRule="auto"/>
        <w:ind w:left="1440" w:hanging="720"/>
        <w:jc w:val="both"/>
        <w:rPr>
          <w:rFonts w:ascii="Times New Roman" w:hAnsi="Times New Roman"/>
          <w:sz w:val="24"/>
          <w:szCs w:val="24"/>
          <w:lang w:val="en-GB"/>
        </w:rPr>
      </w:pPr>
    </w:p>
    <w:p w:rsidR="00685AD8" w:rsidRPr="00311CED" w:rsidRDefault="00685AD8" w:rsidP="00685AD8">
      <w:pPr>
        <w:spacing w:after="0" w:line="240" w:lineRule="auto"/>
        <w:ind w:left="1440" w:hanging="720"/>
        <w:jc w:val="both"/>
        <w:rPr>
          <w:rFonts w:ascii="Times New Roman" w:hAnsi="Times New Roman"/>
          <w:sz w:val="24"/>
          <w:szCs w:val="24"/>
          <w:lang w:val="en-GB"/>
        </w:rPr>
      </w:pPr>
      <w:r w:rsidRPr="00311CED">
        <w:rPr>
          <w:rFonts w:ascii="Times New Roman" w:hAnsi="Times New Roman"/>
          <w:sz w:val="24"/>
          <w:szCs w:val="24"/>
          <w:lang w:val="en-GB"/>
        </w:rPr>
        <w:t>(d)</w:t>
      </w:r>
      <w:r w:rsidRPr="00311CED">
        <w:rPr>
          <w:rFonts w:ascii="Times New Roman" w:hAnsi="Times New Roman"/>
          <w:sz w:val="24"/>
          <w:szCs w:val="24"/>
          <w:lang w:val="en-GB"/>
        </w:rPr>
        <w:tab/>
      </w:r>
      <w:r w:rsidRPr="00AE39EF">
        <w:rPr>
          <w:rFonts w:ascii="Times New Roman" w:hAnsi="Times New Roman"/>
          <w:b/>
          <w:sz w:val="24"/>
          <w:szCs w:val="24"/>
          <w:lang w:val="en-GB"/>
        </w:rPr>
        <w:t>Description of Reservation</w:t>
      </w:r>
      <w:r w:rsidRPr="00311CED">
        <w:rPr>
          <w:rFonts w:ascii="Times New Roman" w:hAnsi="Times New Roman"/>
          <w:sz w:val="24"/>
          <w:szCs w:val="24"/>
          <w:lang w:val="en-GB"/>
        </w:rPr>
        <w:t xml:space="preserve"> sets out the scope of the sectors, subsectors, or activities covered by the entry; and </w:t>
      </w:r>
    </w:p>
    <w:p w:rsidR="00685AD8" w:rsidRPr="00311CED" w:rsidRDefault="00685AD8" w:rsidP="00685AD8">
      <w:pPr>
        <w:spacing w:after="0" w:line="240" w:lineRule="auto"/>
        <w:ind w:left="1440" w:hanging="720"/>
        <w:jc w:val="both"/>
        <w:rPr>
          <w:rFonts w:ascii="Times New Roman" w:hAnsi="Times New Roman"/>
          <w:sz w:val="24"/>
          <w:szCs w:val="24"/>
          <w:lang w:val="en-GB"/>
        </w:rPr>
      </w:pPr>
    </w:p>
    <w:p w:rsidR="00685AD8" w:rsidRPr="00311CED" w:rsidRDefault="00685AD8" w:rsidP="00685AD8">
      <w:pPr>
        <w:spacing w:after="0" w:line="240" w:lineRule="auto"/>
        <w:ind w:left="1440" w:hanging="720"/>
        <w:jc w:val="both"/>
        <w:rPr>
          <w:rFonts w:ascii="Times New Roman" w:hAnsi="Times New Roman"/>
          <w:sz w:val="24"/>
          <w:szCs w:val="24"/>
          <w:lang w:val="en-GB"/>
        </w:rPr>
      </w:pPr>
      <w:r w:rsidRPr="00311CED">
        <w:rPr>
          <w:rFonts w:ascii="Times New Roman" w:hAnsi="Times New Roman"/>
          <w:sz w:val="24"/>
          <w:szCs w:val="24"/>
          <w:lang w:val="en-GB"/>
        </w:rPr>
        <w:t>(e)</w:t>
      </w:r>
      <w:r w:rsidRPr="00311CED">
        <w:rPr>
          <w:rFonts w:ascii="Times New Roman" w:hAnsi="Times New Roman"/>
          <w:sz w:val="24"/>
          <w:szCs w:val="24"/>
          <w:lang w:val="en-GB"/>
        </w:rPr>
        <w:tab/>
      </w:r>
      <w:r w:rsidRPr="00AE39EF">
        <w:rPr>
          <w:rFonts w:ascii="Times New Roman" w:hAnsi="Times New Roman"/>
          <w:b/>
          <w:sz w:val="24"/>
          <w:szCs w:val="24"/>
          <w:lang w:val="en-GB"/>
        </w:rPr>
        <w:t>Source of Measure</w:t>
      </w:r>
      <w:r w:rsidRPr="00311CED">
        <w:rPr>
          <w:rFonts w:ascii="Times New Roman" w:hAnsi="Times New Roman"/>
          <w:sz w:val="24"/>
          <w:szCs w:val="24"/>
          <w:lang w:val="en-GB"/>
        </w:rPr>
        <w:t xml:space="preserve"> identifies, where relevant and for transparency purposes, existing measures that apply to the sectors, subsectors, or activities covered by the entry. The measures stipulated therein are not exhaustive.</w:t>
      </w:r>
    </w:p>
    <w:p w:rsidR="00685AD8" w:rsidRPr="00311CED" w:rsidRDefault="00685AD8" w:rsidP="00685AD8">
      <w:pPr>
        <w:spacing w:after="0" w:line="240" w:lineRule="auto"/>
        <w:jc w:val="both"/>
        <w:rPr>
          <w:rFonts w:ascii="Times New Roman" w:hAnsi="Times New Roman"/>
          <w:sz w:val="24"/>
          <w:szCs w:val="24"/>
          <w:lang w:val="en-GB"/>
        </w:rPr>
      </w:pPr>
    </w:p>
    <w:p w:rsidR="00685AD8" w:rsidRPr="00311CED" w:rsidRDefault="00685AD8" w:rsidP="00685AD8">
      <w:pPr>
        <w:spacing w:after="0" w:line="240" w:lineRule="auto"/>
        <w:ind w:left="720" w:hanging="720"/>
        <w:jc w:val="both"/>
        <w:rPr>
          <w:rFonts w:ascii="Times New Roman" w:hAnsi="Times New Roman"/>
          <w:sz w:val="24"/>
          <w:szCs w:val="24"/>
          <w:lang w:val="en-GB"/>
        </w:rPr>
      </w:pPr>
      <w:r>
        <w:rPr>
          <w:rFonts w:ascii="Times New Roman" w:hAnsi="Times New Roman"/>
          <w:sz w:val="24"/>
          <w:szCs w:val="24"/>
          <w:lang w:val="en-GB"/>
        </w:rPr>
        <w:t>4</w:t>
      </w:r>
      <w:r w:rsidRPr="00311CED">
        <w:rPr>
          <w:rFonts w:ascii="Times New Roman" w:hAnsi="Times New Roman"/>
          <w:sz w:val="24"/>
          <w:szCs w:val="24"/>
          <w:lang w:val="en-GB"/>
        </w:rPr>
        <w:t xml:space="preserve">. </w:t>
      </w:r>
      <w:r w:rsidRPr="00311CED">
        <w:rPr>
          <w:rFonts w:ascii="Times New Roman" w:hAnsi="Times New Roman"/>
          <w:sz w:val="24"/>
          <w:szCs w:val="24"/>
          <w:lang w:val="en-GB"/>
        </w:rPr>
        <w:tab/>
        <w:t>Whenever, in this Schedule, the supply of services is conditioned upon obtaining authorization from relevant regulatory authorities, it shall be understood that the authorization process is non-automatic, requiring a case-by-case evaluation, and the regulatory authorities may exercise discretion over their decisions.</w:t>
      </w:r>
    </w:p>
    <w:p w:rsidR="00685AD8" w:rsidRPr="00311CED" w:rsidRDefault="00685AD8" w:rsidP="00685AD8">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w:t>
      </w: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br w:type="page"/>
      </w:r>
      <w:bookmarkStart w:id="0" w:name="_GoBack"/>
      <w:bookmarkEnd w:id="0"/>
      <w:r w:rsidRPr="00311CED">
        <w:rPr>
          <w:rFonts w:ascii="Times New Roman" w:hAnsi="Times New Roman"/>
          <w:b/>
          <w:sz w:val="24"/>
          <w:szCs w:val="24"/>
          <w:lang w:val="en-GB"/>
        </w:rPr>
        <w:lastRenderedPageBreak/>
        <w:t>1.</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Insurance and insurance related services </w:t>
            </w: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National Treatment (Article 10.3)</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Cross-Border Trade in Financial Services (Article 10.5)</w:t>
            </w: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Pr="00311CED" w:rsidRDefault="00685AD8" w:rsidP="00B116E4">
            <w:pPr>
              <w:tabs>
                <w:tab w:val="left" w:pos="369"/>
              </w:tabs>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Turkey reserves the right to adopt or maintain any measure relating to the cross border trade in insurance and insurance related services, except for: </w:t>
            </w:r>
          </w:p>
          <w:p w:rsidR="00685AD8" w:rsidRPr="00311CED" w:rsidRDefault="00685AD8" w:rsidP="00B116E4">
            <w:pPr>
              <w:pStyle w:val="ListeParagraf"/>
              <w:tabs>
                <w:tab w:val="left" w:pos="1134"/>
                <w:tab w:val="left" w:pos="5884"/>
              </w:tabs>
              <w:spacing w:after="0" w:line="240" w:lineRule="auto"/>
              <w:ind w:left="0" w:right="71"/>
              <w:contextualSpacing w:val="0"/>
              <w:jc w:val="both"/>
              <w:rPr>
                <w:rFonts w:ascii="Times New Roman" w:hAnsi="Times New Roman"/>
                <w:sz w:val="24"/>
                <w:szCs w:val="24"/>
                <w:lang w:val="en-GB"/>
              </w:rPr>
            </w:pPr>
          </w:p>
          <w:p w:rsidR="00685AD8" w:rsidRPr="00311CED" w:rsidRDefault="00685AD8" w:rsidP="00B116E4">
            <w:pPr>
              <w:pStyle w:val="ListeParagraf"/>
              <w:tabs>
                <w:tab w:val="left" w:pos="1134"/>
                <w:tab w:val="left" w:pos="5884"/>
              </w:tabs>
              <w:spacing w:after="0" w:line="240" w:lineRule="auto"/>
              <w:ind w:left="922" w:right="71" w:hanging="425"/>
              <w:contextualSpacing w:val="0"/>
              <w:jc w:val="both"/>
              <w:rPr>
                <w:rFonts w:ascii="Times New Roman" w:hAnsi="Times New Roman"/>
                <w:sz w:val="24"/>
                <w:szCs w:val="24"/>
                <w:lang w:val="en-GB"/>
              </w:rPr>
            </w:pPr>
            <w:r w:rsidRPr="00311CED">
              <w:rPr>
                <w:rFonts w:ascii="Times New Roman" w:hAnsi="Times New Roman"/>
                <w:sz w:val="24"/>
                <w:szCs w:val="24"/>
                <w:lang w:val="en-GB"/>
              </w:rPr>
              <w:t>(a)</w:t>
            </w:r>
            <w:r w:rsidRPr="00311CED">
              <w:rPr>
                <w:rFonts w:ascii="Times New Roman" w:hAnsi="Times New Roman"/>
                <w:sz w:val="24"/>
                <w:szCs w:val="24"/>
                <w:lang w:val="en-GB"/>
              </w:rPr>
              <w:tab/>
              <w:t>insurance of risks relating to:</w:t>
            </w: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w:t>
            </w:r>
            <w:proofErr w:type="spellStart"/>
            <w:r w:rsidRPr="00311CED">
              <w:rPr>
                <w:rFonts w:ascii="Times New Roman" w:hAnsi="Times New Roman"/>
                <w:sz w:val="24"/>
                <w:szCs w:val="24"/>
                <w:lang w:val="en-GB"/>
              </w:rPr>
              <w:t>i</w:t>
            </w:r>
            <w:proofErr w:type="spellEnd"/>
            <w:r w:rsidRPr="00311CED">
              <w:rPr>
                <w:rFonts w:ascii="Times New Roman" w:hAnsi="Times New Roman"/>
                <w:sz w:val="24"/>
                <w:szCs w:val="24"/>
                <w:lang w:val="en-GB"/>
              </w:rPr>
              <w:t>)</w:t>
            </w:r>
            <w:r w:rsidRPr="00311CED">
              <w:rPr>
                <w:rFonts w:ascii="Times New Roman" w:hAnsi="Times New Roman"/>
                <w:sz w:val="24"/>
                <w:szCs w:val="24"/>
                <w:lang w:val="en-GB"/>
              </w:rPr>
              <w:tab/>
              <w:t>Life insurance;</w:t>
            </w: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(ii)</w:t>
            </w:r>
            <w:r w:rsidRPr="00311CED">
              <w:rPr>
                <w:rFonts w:ascii="Times New Roman" w:hAnsi="Times New Roman"/>
                <w:sz w:val="24"/>
                <w:szCs w:val="24"/>
                <w:lang w:val="en-GB"/>
              </w:rPr>
              <w:tab/>
              <w:t>The hull insurance of aircrafts, helicopters and ships which are purchased through a foreign loan or leased through a financial leasing contract from abroad, provided that the insurance period is limited to the term of the credit or leasing contract;</w:t>
            </w: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(iii)</w:t>
            </w:r>
            <w:r w:rsidRPr="00311CED">
              <w:rPr>
                <w:rFonts w:ascii="Times New Roman" w:hAnsi="Times New Roman"/>
                <w:sz w:val="24"/>
                <w:szCs w:val="24"/>
                <w:lang w:val="en-GB"/>
              </w:rPr>
              <w:tab/>
              <w:t>Marine liability insurance;</w:t>
            </w: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(iv) Transportation insurance of imported and exported goods;</w:t>
            </w: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(v)</w:t>
            </w:r>
            <w:r w:rsidRPr="00311CED">
              <w:rPr>
                <w:rFonts w:ascii="Times New Roman" w:hAnsi="Times New Roman"/>
                <w:sz w:val="24"/>
                <w:szCs w:val="24"/>
                <w:lang w:val="en-GB"/>
              </w:rPr>
              <w:tab/>
              <w:t xml:space="preserve">Personal injury, sickness, health and motor vehicle insurance, limited to the time during which the Turkish nationals will be abroad or temporarily staying abroad, </w:t>
            </w: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p>
          <w:p w:rsidR="00685AD8" w:rsidRPr="00311CED" w:rsidRDefault="00685AD8" w:rsidP="00B116E4">
            <w:pPr>
              <w:pStyle w:val="ListeParagraf"/>
              <w:tabs>
                <w:tab w:val="left" w:pos="1348"/>
                <w:tab w:val="left" w:pos="5884"/>
              </w:tabs>
              <w:spacing w:after="0" w:line="240" w:lineRule="auto"/>
              <w:ind w:left="1348" w:right="71"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(vi)</w:t>
            </w:r>
            <w:r w:rsidRPr="00311CED">
              <w:rPr>
                <w:rFonts w:ascii="Times New Roman" w:hAnsi="Times New Roman"/>
                <w:sz w:val="24"/>
                <w:szCs w:val="24"/>
                <w:lang w:val="en-GB"/>
              </w:rPr>
              <w:tab/>
              <w:t>Insurance of ships and yachts registered with the Turkish International Maritime Registry.</w:t>
            </w:r>
          </w:p>
          <w:p w:rsidR="00685AD8" w:rsidRPr="00311CED" w:rsidRDefault="00685AD8" w:rsidP="00B116E4">
            <w:pPr>
              <w:tabs>
                <w:tab w:val="left" w:pos="1134"/>
              </w:tabs>
              <w:spacing w:after="0" w:line="240" w:lineRule="auto"/>
              <w:ind w:firstLine="709"/>
              <w:jc w:val="both"/>
              <w:rPr>
                <w:rFonts w:ascii="Times New Roman" w:hAnsi="Times New Roman"/>
                <w:sz w:val="24"/>
                <w:szCs w:val="24"/>
                <w:lang w:val="en-GB"/>
              </w:rPr>
            </w:pPr>
          </w:p>
          <w:p w:rsidR="00685AD8" w:rsidRPr="00311CED" w:rsidRDefault="00685AD8" w:rsidP="00B116E4">
            <w:pPr>
              <w:tabs>
                <w:tab w:val="left" w:pos="922"/>
              </w:tabs>
              <w:spacing w:after="0" w:line="240" w:lineRule="auto"/>
              <w:ind w:firstLine="497"/>
              <w:jc w:val="both"/>
              <w:rPr>
                <w:rFonts w:ascii="Times New Roman" w:hAnsi="Times New Roman"/>
                <w:sz w:val="24"/>
                <w:szCs w:val="24"/>
                <w:lang w:val="en-GB"/>
              </w:rPr>
            </w:pPr>
            <w:r w:rsidRPr="00311CED">
              <w:rPr>
                <w:rFonts w:ascii="Times New Roman" w:hAnsi="Times New Roman"/>
                <w:sz w:val="24"/>
                <w:szCs w:val="24"/>
                <w:lang w:val="en-GB"/>
              </w:rPr>
              <w:t>(b)</w:t>
            </w:r>
            <w:r w:rsidRPr="00311CED">
              <w:rPr>
                <w:rFonts w:ascii="Times New Roman" w:hAnsi="Times New Roman"/>
                <w:sz w:val="24"/>
                <w:szCs w:val="24"/>
                <w:lang w:val="en-GB"/>
              </w:rPr>
              <w:tab/>
              <w:t xml:space="preserve">Reinsurance and retrocession; </w:t>
            </w:r>
          </w:p>
          <w:p w:rsidR="00685AD8" w:rsidRPr="00311CED" w:rsidRDefault="00685AD8" w:rsidP="00B116E4">
            <w:pPr>
              <w:shd w:val="clear" w:color="auto" w:fill="FFFFFF"/>
              <w:tabs>
                <w:tab w:val="left" w:pos="1134"/>
              </w:tabs>
              <w:spacing w:after="0" w:line="240" w:lineRule="auto"/>
              <w:jc w:val="both"/>
              <w:rPr>
                <w:rFonts w:ascii="Times New Roman" w:hAnsi="Times New Roman"/>
                <w:sz w:val="24"/>
                <w:szCs w:val="24"/>
                <w:lang w:val="en-GB"/>
              </w:rPr>
            </w:pPr>
          </w:p>
          <w:p w:rsidR="00685AD8" w:rsidRDefault="00685AD8" w:rsidP="00B116E4">
            <w:pPr>
              <w:tabs>
                <w:tab w:val="left" w:pos="922"/>
              </w:tabs>
              <w:spacing w:after="0" w:line="240" w:lineRule="auto"/>
              <w:ind w:left="922" w:hanging="425"/>
              <w:jc w:val="both"/>
              <w:rPr>
                <w:rFonts w:ascii="Times New Roman" w:hAnsi="Times New Roman"/>
                <w:sz w:val="24"/>
                <w:szCs w:val="24"/>
                <w:lang w:val="en-GB"/>
              </w:rPr>
            </w:pPr>
          </w:p>
          <w:p w:rsidR="00685AD8" w:rsidRPr="00311CED" w:rsidRDefault="00685AD8" w:rsidP="00B116E4">
            <w:pPr>
              <w:tabs>
                <w:tab w:val="left" w:pos="922"/>
              </w:tabs>
              <w:spacing w:after="0" w:line="240" w:lineRule="auto"/>
              <w:ind w:left="922" w:hanging="425"/>
              <w:jc w:val="both"/>
              <w:rPr>
                <w:rFonts w:ascii="Times New Roman" w:hAnsi="Times New Roman"/>
                <w:sz w:val="24"/>
                <w:szCs w:val="24"/>
                <w:lang w:val="en-GB"/>
              </w:rPr>
            </w:pPr>
            <w:r>
              <w:rPr>
                <w:rFonts w:ascii="Times New Roman" w:hAnsi="Times New Roman"/>
                <w:sz w:val="24"/>
                <w:szCs w:val="24"/>
                <w:lang w:val="en-GB"/>
              </w:rPr>
              <w:t xml:space="preserve">(c) </w:t>
            </w:r>
            <w:r w:rsidRPr="00311CED">
              <w:rPr>
                <w:rFonts w:ascii="Times New Roman" w:hAnsi="Times New Roman"/>
                <w:sz w:val="24"/>
                <w:szCs w:val="24"/>
                <w:lang w:val="en-GB"/>
              </w:rPr>
              <w:t>Services auxiliary to insurance; except for services provided by adjusters and actuaries.</w:t>
            </w:r>
          </w:p>
          <w:p w:rsidR="00685AD8" w:rsidRPr="00311CED" w:rsidRDefault="00685AD8" w:rsidP="00B116E4">
            <w:pPr>
              <w:tabs>
                <w:tab w:val="left" w:pos="369"/>
              </w:tabs>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ind w:left="72" w:right="213"/>
              <w:jc w:val="both"/>
              <w:rPr>
                <w:rFonts w:ascii="Times New Roman" w:hAnsi="Times New Roman"/>
                <w:sz w:val="24"/>
                <w:szCs w:val="24"/>
                <w:lang w:val="en-GB"/>
              </w:rPr>
            </w:pPr>
            <w:r w:rsidRPr="00311CED">
              <w:rPr>
                <w:rFonts w:ascii="Times New Roman" w:hAnsi="Times New Roman"/>
                <w:sz w:val="24"/>
                <w:szCs w:val="24"/>
                <w:lang w:val="en-GB"/>
              </w:rPr>
              <w:t>-</w:t>
            </w:r>
          </w:p>
        </w:tc>
      </w:tr>
    </w:tbl>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rPr>
          <w:rFonts w:ascii="Times New Roman" w:hAnsi="Times New Roman"/>
          <w:b/>
          <w:sz w:val="24"/>
          <w:szCs w:val="24"/>
          <w:lang w:val="en-GB"/>
        </w:rPr>
      </w:pPr>
      <w:r w:rsidRPr="00311CED">
        <w:rPr>
          <w:rFonts w:ascii="Times New Roman" w:hAnsi="Times New Roman"/>
          <w:b/>
          <w:sz w:val="24"/>
          <w:szCs w:val="24"/>
          <w:lang w:val="en-GB"/>
        </w:rPr>
        <w:br w:type="page"/>
      </w:r>
    </w:p>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Insurance Intermediation</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National Treatment (Article 10.3)</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r>
              <w:rPr>
                <w:rFonts w:ascii="Times New Roman" w:hAnsi="Times New Roman"/>
                <w:sz w:val="24"/>
                <w:szCs w:val="24"/>
                <w:lang w:val="en-GB"/>
              </w:rPr>
              <w:t xml:space="preserve"> </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Cross-Border Trade in Financial Services (Article 10.5)</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Pr="00311CED" w:rsidRDefault="00685AD8" w:rsidP="00B116E4">
            <w:pPr>
              <w:keepNext/>
              <w:shd w:val="clear" w:color="auto" w:fill="FFFFFF"/>
              <w:tabs>
                <w:tab w:val="left" w:pos="0"/>
              </w:tabs>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Turkey reserves the right to adopt or maintain any measure relating to the provision, by adjusters and actuaries, of services auxiliary to insurance, such as consultancy, actuarial, risk assessment and claim services.</w:t>
            </w:r>
          </w:p>
          <w:p w:rsidR="00685AD8" w:rsidRPr="00311CED" w:rsidRDefault="00685AD8" w:rsidP="00B116E4">
            <w:pPr>
              <w:keepNext/>
              <w:shd w:val="clear" w:color="auto" w:fill="FFFFFF"/>
              <w:tabs>
                <w:tab w:val="left" w:pos="0"/>
              </w:tabs>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keepNext/>
              <w:shd w:val="clear" w:color="auto" w:fill="FFFFFF"/>
              <w:tabs>
                <w:tab w:val="left" w:pos="72"/>
              </w:tabs>
              <w:spacing w:after="0" w:line="240" w:lineRule="auto"/>
              <w:ind w:left="72" w:right="71"/>
              <w:jc w:val="both"/>
              <w:rPr>
                <w:rFonts w:ascii="Times New Roman" w:hAnsi="Times New Roman"/>
                <w:sz w:val="24"/>
                <w:szCs w:val="24"/>
                <w:lang w:val="en-GB"/>
              </w:rPr>
            </w:pPr>
            <w:r w:rsidRPr="00311CED">
              <w:rPr>
                <w:rFonts w:ascii="Times New Roman" w:hAnsi="Times New Roman"/>
                <w:sz w:val="24"/>
                <w:szCs w:val="24"/>
                <w:lang w:val="en-GB"/>
              </w:rPr>
              <w:t xml:space="preserve">- </w:t>
            </w:r>
          </w:p>
          <w:p w:rsidR="00685AD8" w:rsidRPr="00311CED" w:rsidRDefault="00685AD8" w:rsidP="00B116E4">
            <w:pPr>
              <w:keepNext/>
              <w:shd w:val="clear" w:color="auto" w:fill="FFFFFF"/>
              <w:tabs>
                <w:tab w:val="left" w:pos="72"/>
              </w:tabs>
              <w:spacing w:after="0" w:line="240" w:lineRule="auto"/>
              <w:ind w:left="72" w:right="71"/>
              <w:jc w:val="both"/>
              <w:rPr>
                <w:rFonts w:ascii="Times New Roman" w:hAnsi="Times New Roman"/>
                <w:sz w:val="24"/>
                <w:szCs w:val="24"/>
                <w:lang w:val="en-GB"/>
              </w:rPr>
            </w:pPr>
          </w:p>
        </w:tc>
      </w:tr>
    </w:tbl>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rPr>
          <w:rFonts w:ascii="Times New Roman" w:hAnsi="Times New Roman"/>
          <w:b/>
          <w:sz w:val="24"/>
          <w:szCs w:val="24"/>
          <w:lang w:val="en-GB"/>
        </w:rPr>
      </w:pPr>
      <w:r w:rsidRPr="00311CED">
        <w:rPr>
          <w:rFonts w:ascii="Times New Roman" w:hAnsi="Times New Roman"/>
          <w:b/>
          <w:sz w:val="24"/>
          <w:szCs w:val="24"/>
          <w:lang w:val="en-GB"/>
        </w:rPr>
        <w:br w:type="page"/>
      </w:r>
    </w:p>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 xml:space="preserve">3.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National Treatment (Article 10.3)</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Cross-Border Trade in Financial Services (Article 10.5)</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Pr="00311CED" w:rsidRDefault="00685AD8" w:rsidP="00B116E4">
            <w:pPr>
              <w:keepNext/>
              <w:shd w:val="clear" w:color="auto" w:fill="FFFFFF"/>
              <w:tabs>
                <w:tab w:val="left" w:pos="0"/>
              </w:tabs>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Turkey reserves the right to adopt or maintain any measure  relating to the cross border trade in Banking and other financial services (excl. insurance), except for: </w:t>
            </w:r>
          </w:p>
          <w:p w:rsidR="00685AD8" w:rsidRPr="00311CED" w:rsidRDefault="00685AD8" w:rsidP="00B116E4">
            <w:pPr>
              <w:keepNext/>
              <w:shd w:val="clear" w:color="auto" w:fill="FFFFFF"/>
              <w:tabs>
                <w:tab w:val="left" w:pos="0"/>
              </w:tabs>
              <w:spacing w:after="0" w:line="240" w:lineRule="auto"/>
              <w:jc w:val="both"/>
              <w:rPr>
                <w:rFonts w:ascii="Times New Roman" w:hAnsi="Times New Roman"/>
                <w:sz w:val="24"/>
                <w:szCs w:val="24"/>
                <w:lang w:val="en-GB"/>
              </w:rPr>
            </w:pPr>
          </w:p>
          <w:p w:rsidR="00685AD8" w:rsidRPr="00311CED" w:rsidRDefault="00685AD8" w:rsidP="00B116E4">
            <w:pPr>
              <w:tabs>
                <w:tab w:val="left" w:pos="922"/>
              </w:tabs>
              <w:spacing w:after="0" w:line="240" w:lineRule="auto"/>
              <w:ind w:left="922" w:hanging="425"/>
              <w:jc w:val="both"/>
              <w:rPr>
                <w:rFonts w:ascii="Times New Roman" w:hAnsi="Times New Roman"/>
                <w:sz w:val="24"/>
                <w:szCs w:val="24"/>
                <w:lang w:val="en-GB"/>
              </w:rPr>
            </w:pPr>
            <w:r w:rsidRPr="00311CED">
              <w:rPr>
                <w:rFonts w:ascii="Times New Roman" w:hAnsi="Times New Roman"/>
                <w:sz w:val="24"/>
                <w:szCs w:val="24"/>
                <w:lang w:val="en-GB"/>
              </w:rPr>
              <w:t xml:space="preserve">(a) </w:t>
            </w:r>
            <w:r w:rsidRPr="00311CED">
              <w:rPr>
                <w:rFonts w:ascii="Times New Roman" w:hAnsi="Times New Roman"/>
                <w:sz w:val="24"/>
                <w:szCs w:val="24"/>
                <w:lang w:val="en-GB"/>
              </w:rPr>
              <w:tab/>
              <w:t>provision and transfer of financial information; and</w:t>
            </w:r>
          </w:p>
          <w:p w:rsidR="00685AD8" w:rsidRPr="00311CED" w:rsidRDefault="00685AD8" w:rsidP="00B116E4">
            <w:pPr>
              <w:tabs>
                <w:tab w:val="left" w:pos="922"/>
              </w:tabs>
              <w:spacing w:after="0" w:line="240" w:lineRule="auto"/>
              <w:ind w:left="922" w:hanging="425"/>
              <w:jc w:val="both"/>
              <w:rPr>
                <w:rFonts w:ascii="Times New Roman" w:hAnsi="Times New Roman"/>
                <w:sz w:val="24"/>
                <w:szCs w:val="24"/>
                <w:lang w:val="en-GB"/>
              </w:rPr>
            </w:pPr>
          </w:p>
          <w:p w:rsidR="00685AD8" w:rsidRPr="00311CED" w:rsidRDefault="00685AD8" w:rsidP="00B116E4">
            <w:pPr>
              <w:tabs>
                <w:tab w:val="left" w:pos="922"/>
              </w:tabs>
              <w:spacing w:after="0" w:line="240" w:lineRule="auto"/>
              <w:ind w:left="922" w:hanging="425"/>
              <w:jc w:val="both"/>
              <w:rPr>
                <w:rFonts w:ascii="Times New Roman" w:hAnsi="Times New Roman"/>
                <w:sz w:val="24"/>
                <w:szCs w:val="24"/>
                <w:lang w:val="en-GB"/>
              </w:rPr>
            </w:pPr>
            <w:r w:rsidRPr="00311CED">
              <w:rPr>
                <w:rFonts w:ascii="Times New Roman" w:hAnsi="Times New Roman"/>
                <w:sz w:val="24"/>
                <w:szCs w:val="24"/>
                <w:lang w:val="en-GB"/>
              </w:rPr>
              <w:t xml:space="preserve">(b) </w:t>
            </w:r>
            <w:r w:rsidRPr="00311CED">
              <w:rPr>
                <w:rFonts w:ascii="Times New Roman" w:hAnsi="Times New Roman"/>
                <w:sz w:val="24"/>
                <w:szCs w:val="24"/>
                <w:lang w:val="en-GB"/>
              </w:rPr>
              <w:tab/>
              <w:t>advisory, intermediation and other auxiliary financial services on banking and other financial services (excluding insurance) activities listed in subparagraphs (b)(</w:t>
            </w:r>
            <w:proofErr w:type="spellStart"/>
            <w:r w:rsidRPr="00311CED">
              <w:rPr>
                <w:rFonts w:ascii="Times New Roman" w:hAnsi="Times New Roman"/>
                <w:sz w:val="24"/>
                <w:szCs w:val="24"/>
                <w:lang w:val="en-GB"/>
              </w:rPr>
              <w:t>i</w:t>
            </w:r>
            <w:proofErr w:type="spellEnd"/>
            <w:r w:rsidRPr="00311CED">
              <w:rPr>
                <w:rFonts w:ascii="Times New Roman" w:hAnsi="Times New Roman"/>
                <w:sz w:val="24"/>
                <w:szCs w:val="24"/>
                <w:lang w:val="en-GB"/>
              </w:rPr>
              <w:t>) through (xi) of the definition of “financial service” in Article 10.1 (Definitions).</w:t>
            </w:r>
          </w:p>
          <w:p w:rsidR="00685AD8" w:rsidRPr="00311CED" w:rsidRDefault="00685AD8" w:rsidP="00B116E4">
            <w:pPr>
              <w:tabs>
                <w:tab w:val="left" w:pos="922"/>
              </w:tabs>
              <w:spacing w:after="0" w:line="240" w:lineRule="auto"/>
              <w:ind w:left="922" w:hanging="425"/>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ind w:left="72" w:right="213"/>
              <w:jc w:val="both"/>
              <w:rPr>
                <w:rFonts w:ascii="Times New Roman" w:hAnsi="Times New Roman"/>
                <w:sz w:val="24"/>
                <w:szCs w:val="24"/>
                <w:lang w:val="en-GB"/>
              </w:rPr>
            </w:pPr>
            <w:r w:rsidRPr="00311CED">
              <w:rPr>
                <w:rFonts w:ascii="Times New Roman" w:hAnsi="Times New Roman"/>
                <w:sz w:val="24"/>
                <w:szCs w:val="24"/>
                <w:lang w:val="en-GB"/>
              </w:rPr>
              <w:t>-</w:t>
            </w:r>
          </w:p>
        </w:tc>
      </w:tr>
    </w:tbl>
    <w:p w:rsidR="00685AD8" w:rsidRPr="00311CED" w:rsidRDefault="00685AD8" w:rsidP="00685AD8">
      <w:pPr>
        <w:spacing w:after="0" w:line="240" w:lineRule="auto"/>
        <w:jc w:val="center"/>
        <w:rPr>
          <w:rFonts w:ascii="Times New Roman" w:hAnsi="Times New Roman"/>
          <w:b/>
          <w:sz w:val="24"/>
          <w:szCs w:val="24"/>
          <w:lang w:val="en-GB"/>
        </w:rPr>
      </w:pPr>
    </w:p>
    <w:p w:rsidR="00685AD8" w:rsidRPr="00311CED" w:rsidRDefault="00685AD8" w:rsidP="00685AD8">
      <w:pPr>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lastRenderedPageBreak/>
        <w:t>4.</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National Treatment (Article 10.3) </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Pr="00311CED" w:rsidRDefault="00685AD8" w:rsidP="00B116E4">
            <w:pPr>
              <w:spacing w:after="0" w:line="240" w:lineRule="auto"/>
              <w:ind w:left="74" w:right="215"/>
              <w:jc w:val="both"/>
              <w:rPr>
                <w:rFonts w:ascii="Times New Roman" w:hAnsi="Times New Roman"/>
                <w:sz w:val="24"/>
                <w:szCs w:val="24"/>
                <w:lang w:val="en-GB"/>
              </w:rPr>
            </w:pPr>
            <w:r w:rsidRPr="00311CED">
              <w:rPr>
                <w:rFonts w:ascii="Times New Roman" w:hAnsi="Times New Roman"/>
                <w:sz w:val="24"/>
                <w:szCs w:val="24"/>
                <w:lang w:val="en-GB"/>
              </w:rPr>
              <w:t xml:space="preserve">Turkey reserves the right to adopt or maintain any measure  relating to: </w:t>
            </w:r>
          </w:p>
          <w:p w:rsidR="00685AD8" w:rsidRPr="00311CED" w:rsidRDefault="00685AD8" w:rsidP="00B116E4">
            <w:pPr>
              <w:spacing w:after="0" w:line="240" w:lineRule="auto"/>
              <w:ind w:left="781" w:right="215" w:hanging="567"/>
              <w:jc w:val="both"/>
              <w:rPr>
                <w:rFonts w:ascii="Times New Roman" w:hAnsi="Times New Roman"/>
                <w:sz w:val="24"/>
                <w:szCs w:val="24"/>
                <w:lang w:val="en-GB"/>
              </w:rPr>
            </w:pPr>
          </w:p>
          <w:p w:rsidR="00685AD8" w:rsidRPr="00311CED" w:rsidRDefault="00685AD8" w:rsidP="00B116E4">
            <w:pPr>
              <w:spacing w:after="0" w:line="240" w:lineRule="auto"/>
              <w:ind w:left="781" w:right="215" w:hanging="567"/>
              <w:jc w:val="both"/>
              <w:rPr>
                <w:rFonts w:ascii="Times New Roman" w:hAnsi="Times New Roman"/>
                <w:sz w:val="24"/>
                <w:szCs w:val="24"/>
                <w:lang w:val="en-GB"/>
              </w:rPr>
            </w:pPr>
            <w:r w:rsidRPr="00311CED">
              <w:rPr>
                <w:rFonts w:ascii="Times New Roman" w:hAnsi="Times New Roman"/>
                <w:sz w:val="24"/>
                <w:szCs w:val="24"/>
                <w:lang w:val="en-GB"/>
              </w:rPr>
              <w:t xml:space="preserve">(a) institutions accepting deposits; </w:t>
            </w:r>
          </w:p>
          <w:p w:rsidR="00685AD8" w:rsidRPr="00311CED" w:rsidRDefault="00685AD8" w:rsidP="00B116E4">
            <w:pPr>
              <w:spacing w:after="0" w:line="240" w:lineRule="auto"/>
              <w:ind w:left="781" w:right="215" w:hanging="567"/>
              <w:jc w:val="both"/>
              <w:rPr>
                <w:rFonts w:ascii="Times New Roman" w:hAnsi="Times New Roman"/>
                <w:sz w:val="24"/>
                <w:szCs w:val="24"/>
                <w:lang w:val="en-GB"/>
              </w:rPr>
            </w:pPr>
          </w:p>
          <w:p w:rsidR="00685AD8" w:rsidRPr="00311CED" w:rsidRDefault="00685AD8" w:rsidP="00B116E4">
            <w:pPr>
              <w:spacing w:after="0" w:line="240" w:lineRule="auto"/>
              <w:ind w:left="781" w:right="215" w:hanging="567"/>
              <w:jc w:val="both"/>
              <w:rPr>
                <w:rFonts w:ascii="Times New Roman" w:hAnsi="Times New Roman"/>
                <w:sz w:val="24"/>
                <w:szCs w:val="24"/>
                <w:lang w:val="en-GB"/>
              </w:rPr>
            </w:pPr>
            <w:r w:rsidRPr="00311CED">
              <w:rPr>
                <w:rFonts w:ascii="Times New Roman" w:hAnsi="Times New Roman"/>
                <w:sz w:val="24"/>
                <w:szCs w:val="24"/>
                <w:lang w:val="en-GB"/>
              </w:rPr>
              <w:t xml:space="preserve">(b) the range of activities a bank is allowed to perform; </w:t>
            </w:r>
          </w:p>
          <w:p w:rsidR="00685AD8" w:rsidRPr="00311CED" w:rsidRDefault="00685AD8" w:rsidP="00B116E4">
            <w:pPr>
              <w:spacing w:after="0" w:line="240" w:lineRule="auto"/>
              <w:ind w:left="781" w:right="215" w:hanging="567"/>
              <w:jc w:val="both"/>
              <w:rPr>
                <w:rFonts w:ascii="Times New Roman" w:hAnsi="Times New Roman"/>
                <w:sz w:val="24"/>
                <w:szCs w:val="24"/>
                <w:lang w:val="en-GB"/>
              </w:rPr>
            </w:pPr>
          </w:p>
          <w:p w:rsidR="00685AD8" w:rsidRPr="00311CED" w:rsidRDefault="00685AD8" w:rsidP="00B116E4">
            <w:pPr>
              <w:spacing w:after="0" w:line="240" w:lineRule="auto"/>
              <w:ind w:left="781" w:right="215" w:hanging="567"/>
              <w:jc w:val="both"/>
              <w:rPr>
                <w:rFonts w:ascii="Times New Roman" w:hAnsi="Times New Roman"/>
                <w:sz w:val="24"/>
                <w:szCs w:val="24"/>
                <w:lang w:val="en-GB"/>
              </w:rPr>
            </w:pPr>
            <w:r w:rsidRPr="00311CED">
              <w:rPr>
                <w:rFonts w:ascii="Times New Roman" w:hAnsi="Times New Roman"/>
                <w:sz w:val="24"/>
                <w:szCs w:val="24"/>
                <w:lang w:val="en-GB"/>
              </w:rPr>
              <w:t xml:space="preserve">(c) </w:t>
            </w:r>
            <w:proofErr w:type="gramStart"/>
            <w:r w:rsidRPr="00311CED">
              <w:rPr>
                <w:rFonts w:ascii="Times New Roman" w:hAnsi="Times New Roman"/>
                <w:sz w:val="24"/>
                <w:szCs w:val="24"/>
                <w:lang w:val="en-GB"/>
              </w:rPr>
              <w:t>the</w:t>
            </w:r>
            <w:proofErr w:type="gramEnd"/>
            <w:r w:rsidRPr="00311CED">
              <w:rPr>
                <w:rFonts w:ascii="Times New Roman" w:hAnsi="Times New Roman"/>
                <w:sz w:val="24"/>
                <w:szCs w:val="24"/>
                <w:lang w:val="en-GB"/>
              </w:rPr>
              <w:t xml:space="preserve"> provision of all electronic banking services.</w:t>
            </w:r>
          </w:p>
          <w:p w:rsidR="00685AD8" w:rsidRPr="00311CED" w:rsidRDefault="00685AD8" w:rsidP="00B116E4">
            <w:pPr>
              <w:spacing w:after="0" w:line="240" w:lineRule="auto"/>
              <w:ind w:left="781" w:right="215" w:hanging="567"/>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ind w:left="72" w:right="213"/>
              <w:jc w:val="both"/>
              <w:rPr>
                <w:rFonts w:ascii="Times New Roman" w:hAnsi="Times New Roman"/>
                <w:sz w:val="24"/>
                <w:szCs w:val="24"/>
                <w:lang w:val="en-GB"/>
              </w:rPr>
            </w:pPr>
            <w:r w:rsidRPr="00311CED">
              <w:rPr>
                <w:rFonts w:ascii="Times New Roman" w:hAnsi="Times New Roman"/>
                <w:sz w:val="24"/>
                <w:szCs w:val="24"/>
                <w:lang w:val="en-GB"/>
              </w:rPr>
              <w:t>-</w:t>
            </w:r>
          </w:p>
        </w:tc>
      </w:tr>
    </w:tbl>
    <w:p w:rsidR="00685AD8" w:rsidRPr="00311CED" w:rsidRDefault="00685AD8" w:rsidP="00685AD8">
      <w:pPr>
        <w:rPr>
          <w:rFonts w:ascii="Times New Roman" w:hAnsi="Times New Roman"/>
          <w:b/>
          <w:sz w:val="24"/>
          <w:szCs w:val="24"/>
          <w:lang w:val="en-GB"/>
        </w:rPr>
      </w:pPr>
    </w:p>
    <w:p w:rsidR="00685AD8" w:rsidRPr="00311CED" w:rsidRDefault="00685AD8" w:rsidP="00685AD8">
      <w:pPr>
        <w:rPr>
          <w:rFonts w:ascii="Times New Roman" w:hAnsi="Times New Roman"/>
          <w:sz w:val="24"/>
          <w:szCs w:val="24"/>
          <w:lang w:val="en-GB"/>
        </w:rPr>
      </w:pPr>
      <w:r w:rsidRPr="00311CED">
        <w:rPr>
          <w:rFonts w:ascii="Times New Roman" w:hAnsi="Times New Roman"/>
          <w:sz w:val="24"/>
          <w:szCs w:val="24"/>
          <w:lang w:val="en-GB"/>
        </w:rPr>
        <w:br w:type="page"/>
      </w:r>
    </w:p>
    <w:p w:rsidR="00685AD8" w:rsidRPr="00311CED" w:rsidRDefault="00685AD8" w:rsidP="00685AD8">
      <w:pPr>
        <w:rPr>
          <w:rFonts w:ascii="Times New Roman" w:hAnsi="Times New Roman"/>
          <w:b/>
          <w:sz w:val="24"/>
          <w:szCs w:val="24"/>
          <w:lang w:val="en-GB"/>
        </w:rPr>
      </w:pPr>
      <w:r w:rsidRPr="00311CED">
        <w:rPr>
          <w:rFonts w:ascii="Times New Roman" w:hAnsi="Times New Roman"/>
          <w:b/>
          <w:sz w:val="24"/>
          <w:szCs w:val="24"/>
          <w:lang w:val="en-GB"/>
        </w:rPr>
        <w:lastRenderedPageBreak/>
        <w:t>5.</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National Treatment (Article 10.3) </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Turkey reserves the right to adopt or maintain any measure which may include limitations on juridical form with regard to safeguarding the interest of depositors and/or for the protection of consumers of financial services and investors.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w:t>
            </w:r>
          </w:p>
        </w:tc>
      </w:tr>
    </w:tbl>
    <w:p w:rsidR="00685AD8" w:rsidRPr="00311CED" w:rsidRDefault="00685AD8" w:rsidP="00685AD8">
      <w:pPr>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br w:type="page"/>
      </w: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6.</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14"/>
        <w:gridCol w:w="6095"/>
      </w:tblGrid>
      <w:tr w:rsidR="00685AD8" w:rsidRPr="00311CED" w:rsidTr="00B116E4">
        <w:trPr>
          <w:trHeight w:val="346"/>
        </w:trPr>
        <w:tc>
          <w:tcPr>
            <w:tcW w:w="3014" w:type="dxa"/>
            <w:tcMar>
              <w:top w:w="0" w:type="dxa"/>
              <w:left w:w="70" w:type="dxa"/>
              <w:bottom w:w="0" w:type="dxa"/>
              <w:right w:w="70" w:type="dxa"/>
            </w:tcMar>
            <w:hideMark/>
          </w:tcPr>
          <w:p w:rsidR="00685AD8" w:rsidRPr="00311CED" w:rsidRDefault="00685AD8" w:rsidP="00B116E4">
            <w:pPr>
              <w:spacing w:after="0" w:line="240" w:lineRule="auto"/>
              <w:ind w:left="37"/>
              <w:jc w:val="both"/>
              <w:rPr>
                <w:rFonts w:ascii="Times New Roman" w:eastAsiaTheme="minorHAnsi" w:hAnsi="Times New Roman"/>
                <w:b/>
                <w:bCs/>
                <w:sz w:val="24"/>
                <w:szCs w:val="24"/>
                <w:lang w:val="en-GB"/>
              </w:rPr>
            </w:pPr>
            <w:r w:rsidRPr="00311CED">
              <w:rPr>
                <w:rFonts w:ascii="Times New Roman" w:eastAsia="Times New Roman" w:hAnsi="Times New Roman"/>
                <w:b/>
                <w:bCs/>
                <w:sz w:val="24"/>
                <w:szCs w:val="24"/>
                <w:lang w:val="en-GB"/>
              </w:rPr>
              <w:br w:type="page"/>
            </w:r>
            <w:r w:rsidRPr="00311CED">
              <w:rPr>
                <w:rFonts w:ascii="Times New Roman" w:eastAsia="Times New Roman" w:hAnsi="Times New Roman"/>
                <w:b/>
                <w:bCs/>
                <w:sz w:val="24"/>
                <w:szCs w:val="24"/>
                <w:lang w:val="en-GB"/>
              </w:rPr>
              <w:br w:type="page"/>
            </w:r>
            <w:r w:rsidRPr="00311CED">
              <w:rPr>
                <w:rFonts w:ascii="Times New Roman" w:hAnsi="Times New Roman"/>
                <w:b/>
                <w:bCs/>
                <w:sz w:val="24"/>
                <w:szCs w:val="24"/>
                <w:lang w:val="en-GB"/>
              </w:rPr>
              <w:t xml:space="preserve">Sector </w:t>
            </w:r>
          </w:p>
        </w:tc>
        <w:tc>
          <w:tcPr>
            <w:tcW w:w="6095" w:type="dxa"/>
            <w:tcMar>
              <w:top w:w="0" w:type="dxa"/>
              <w:left w:w="70" w:type="dxa"/>
              <w:bottom w:w="0" w:type="dxa"/>
              <w:right w:w="70" w:type="dxa"/>
            </w:tcMar>
            <w:hideMark/>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rsidR="00685AD8" w:rsidRPr="00311CED" w:rsidRDefault="00685AD8" w:rsidP="00B116E4">
            <w:pPr>
              <w:spacing w:after="0" w:line="240" w:lineRule="auto"/>
              <w:jc w:val="both"/>
              <w:rPr>
                <w:rFonts w:ascii="Times New Roman" w:eastAsiaTheme="minorHAnsi" w:hAnsi="Times New Roman"/>
                <w:sz w:val="24"/>
                <w:szCs w:val="24"/>
                <w:lang w:val="en-GB"/>
              </w:rPr>
            </w:pPr>
          </w:p>
        </w:tc>
      </w:tr>
      <w:tr w:rsidR="00685AD8" w:rsidRPr="00311CED" w:rsidTr="00B116E4">
        <w:trPr>
          <w:trHeight w:val="309"/>
        </w:trPr>
        <w:tc>
          <w:tcPr>
            <w:tcW w:w="3014" w:type="dxa"/>
            <w:tcMar>
              <w:top w:w="0" w:type="dxa"/>
              <w:left w:w="70" w:type="dxa"/>
              <w:bottom w:w="0" w:type="dxa"/>
              <w:right w:w="70" w:type="dxa"/>
            </w:tcMar>
            <w:hideMark/>
          </w:tcPr>
          <w:p w:rsidR="00685AD8" w:rsidRPr="00311CED" w:rsidRDefault="00685AD8" w:rsidP="00B116E4">
            <w:pPr>
              <w:spacing w:after="0" w:line="240" w:lineRule="auto"/>
              <w:jc w:val="both"/>
              <w:rPr>
                <w:rFonts w:ascii="Times New Roman" w:eastAsiaTheme="minorHAnsi" w:hAnsi="Times New Roman"/>
                <w:b/>
                <w:bCs/>
                <w:sz w:val="24"/>
                <w:szCs w:val="24"/>
                <w:lang w:val="en-GB"/>
              </w:rPr>
            </w:pPr>
            <w:r w:rsidRPr="00311CED">
              <w:rPr>
                <w:rFonts w:ascii="Times New Roman" w:hAnsi="Times New Roman"/>
                <w:b/>
                <w:bCs/>
                <w:sz w:val="24"/>
                <w:szCs w:val="24"/>
                <w:lang w:val="en-GB"/>
              </w:rPr>
              <w:t xml:space="preserve">Sub-sector </w:t>
            </w:r>
          </w:p>
        </w:tc>
        <w:tc>
          <w:tcPr>
            <w:tcW w:w="6095" w:type="dxa"/>
            <w:tcMar>
              <w:top w:w="0" w:type="dxa"/>
              <w:left w:w="70" w:type="dxa"/>
              <w:bottom w:w="0" w:type="dxa"/>
              <w:right w:w="70" w:type="dxa"/>
            </w:tcMar>
            <w:hideMark/>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All </w:t>
            </w:r>
          </w:p>
          <w:p w:rsidR="00685AD8" w:rsidRPr="00311CED" w:rsidRDefault="00685AD8" w:rsidP="00B116E4">
            <w:pPr>
              <w:spacing w:after="0" w:line="240" w:lineRule="auto"/>
              <w:jc w:val="both"/>
              <w:rPr>
                <w:rFonts w:ascii="Times New Roman" w:eastAsiaTheme="minorHAnsi" w:hAnsi="Times New Roman"/>
                <w:sz w:val="24"/>
                <w:szCs w:val="24"/>
                <w:lang w:val="en-GB"/>
              </w:rPr>
            </w:pPr>
          </w:p>
        </w:tc>
      </w:tr>
      <w:tr w:rsidR="00685AD8" w:rsidRPr="00311CED" w:rsidTr="00B116E4">
        <w:trPr>
          <w:trHeight w:val="429"/>
        </w:trPr>
        <w:tc>
          <w:tcPr>
            <w:tcW w:w="3014" w:type="dxa"/>
            <w:tcMar>
              <w:top w:w="0" w:type="dxa"/>
              <w:left w:w="70" w:type="dxa"/>
              <w:bottom w:w="0" w:type="dxa"/>
              <w:right w:w="70" w:type="dxa"/>
            </w:tcMar>
            <w:hideMark/>
          </w:tcPr>
          <w:p w:rsidR="00685AD8" w:rsidRPr="00311CED" w:rsidRDefault="00685AD8" w:rsidP="00B116E4">
            <w:pPr>
              <w:spacing w:after="0" w:line="240" w:lineRule="auto"/>
              <w:ind w:left="37"/>
              <w:rPr>
                <w:rFonts w:ascii="Times New Roman" w:eastAsiaTheme="minorHAnsi" w:hAnsi="Times New Roman"/>
                <w:b/>
                <w:bCs/>
                <w:sz w:val="24"/>
                <w:szCs w:val="24"/>
                <w:lang w:val="en-GB"/>
              </w:rPr>
            </w:pPr>
            <w:r w:rsidRPr="00311CED">
              <w:rPr>
                <w:rFonts w:ascii="Times New Roman" w:hAnsi="Times New Roman"/>
                <w:b/>
                <w:bCs/>
                <w:sz w:val="24"/>
                <w:szCs w:val="24"/>
                <w:lang w:val="en-GB"/>
              </w:rPr>
              <w:t>Type of Reservation</w:t>
            </w:r>
          </w:p>
        </w:tc>
        <w:tc>
          <w:tcPr>
            <w:tcW w:w="6095" w:type="dxa"/>
            <w:tcMar>
              <w:top w:w="0" w:type="dxa"/>
              <w:left w:w="70" w:type="dxa"/>
              <w:bottom w:w="0" w:type="dxa"/>
              <w:right w:w="70" w:type="dxa"/>
            </w:tcMar>
          </w:tcPr>
          <w:p w:rsidR="00685AD8" w:rsidRPr="00311CED" w:rsidRDefault="00685AD8" w:rsidP="00B116E4">
            <w:pPr>
              <w:spacing w:after="0" w:line="240" w:lineRule="auto"/>
              <w:jc w:val="both"/>
              <w:rPr>
                <w:rFonts w:ascii="Times New Roman" w:eastAsiaTheme="minorHAnsi" w:hAnsi="Times New Roman"/>
                <w:sz w:val="24"/>
                <w:szCs w:val="24"/>
                <w:lang w:val="en-GB"/>
              </w:rPr>
            </w:pPr>
            <w:r w:rsidRPr="00311CED">
              <w:rPr>
                <w:rFonts w:ascii="Times New Roman" w:hAnsi="Times New Roman"/>
                <w:sz w:val="24"/>
                <w:szCs w:val="24"/>
                <w:lang w:val="en-GB"/>
              </w:rPr>
              <w:t>National Treatment (Article 10.3)</w:t>
            </w:r>
          </w:p>
        </w:tc>
      </w:tr>
      <w:tr w:rsidR="00685AD8" w:rsidRPr="00311CED" w:rsidTr="00B116E4">
        <w:trPr>
          <w:trHeight w:val="283"/>
        </w:trPr>
        <w:tc>
          <w:tcPr>
            <w:tcW w:w="3014" w:type="dxa"/>
            <w:tcMar>
              <w:top w:w="0" w:type="dxa"/>
              <w:left w:w="70" w:type="dxa"/>
              <w:bottom w:w="0" w:type="dxa"/>
              <w:right w:w="70" w:type="dxa"/>
            </w:tcMar>
            <w:hideMark/>
          </w:tcPr>
          <w:p w:rsidR="00685AD8" w:rsidRPr="00311CED" w:rsidRDefault="00685AD8" w:rsidP="00B116E4">
            <w:pPr>
              <w:spacing w:after="0" w:line="240" w:lineRule="auto"/>
              <w:ind w:left="37"/>
              <w:rPr>
                <w:rFonts w:ascii="Times New Roman" w:eastAsiaTheme="minorHAnsi" w:hAnsi="Times New Roman"/>
                <w:b/>
                <w:bCs/>
                <w:sz w:val="24"/>
                <w:szCs w:val="24"/>
                <w:lang w:val="en-GB"/>
              </w:rPr>
            </w:pPr>
            <w:r w:rsidRPr="00311CED">
              <w:rPr>
                <w:rFonts w:ascii="Times New Roman" w:hAnsi="Times New Roman"/>
                <w:b/>
                <w:bCs/>
                <w:sz w:val="24"/>
                <w:szCs w:val="24"/>
                <w:lang w:val="en-GB"/>
              </w:rPr>
              <w:t>Description of Reservation</w:t>
            </w:r>
          </w:p>
        </w:tc>
        <w:tc>
          <w:tcPr>
            <w:tcW w:w="6095" w:type="dxa"/>
            <w:tcMar>
              <w:top w:w="0" w:type="dxa"/>
              <w:left w:w="70" w:type="dxa"/>
              <w:bottom w:w="0" w:type="dxa"/>
              <w:right w:w="70" w:type="dxa"/>
            </w:tcMar>
            <w:hideMark/>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Turkey reserves the right to adopt or maintain any measure relating to the extension of foreign currency or Turkish currency loans, securities and other capital market instruments in order to protect the value of the Turkish currency. </w:t>
            </w:r>
          </w:p>
          <w:p w:rsidR="00685AD8" w:rsidRPr="00311CED" w:rsidRDefault="00685AD8" w:rsidP="00B116E4">
            <w:pPr>
              <w:spacing w:after="0" w:line="240" w:lineRule="auto"/>
              <w:rPr>
                <w:rFonts w:ascii="Times New Roman" w:eastAsiaTheme="minorHAnsi" w:hAnsi="Times New Roman"/>
                <w:b/>
                <w:bCs/>
                <w:sz w:val="24"/>
                <w:szCs w:val="24"/>
                <w:lang w:val="en-GB"/>
              </w:rPr>
            </w:pPr>
          </w:p>
        </w:tc>
      </w:tr>
      <w:tr w:rsidR="00685AD8" w:rsidRPr="00311CED" w:rsidTr="00B116E4">
        <w:trPr>
          <w:trHeight w:val="283"/>
        </w:trPr>
        <w:tc>
          <w:tcPr>
            <w:tcW w:w="3014" w:type="dxa"/>
            <w:tcMar>
              <w:top w:w="0" w:type="dxa"/>
              <w:left w:w="70" w:type="dxa"/>
              <w:bottom w:w="0" w:type="dxa"/>
              <w:right w:w="70" w:type="dxa"/>
            </w:tcMar>
            <w:hideMark/>
          </w:tcPr>
          <w:p w:rsidR="00685AD8" w:rsidRPr="00311CED" w:rsidRDefault="00685AD8" w:rsidP="00B116E4">
            <w:pPr>
              <w:spacing w:after="0" w:line="240" w:lineRule="auto"/>
              <w:ind w:left="37"/>
              <w:rPr>
                <w:rFonts w:ascii="Times New Roman" w:eastAsiaTheme="minorHAnsi" w:hAnsi="Times New Roman"/>
                <w:b/>
                <w:bCs/>
                <w:sz w:val="24"/>
                <w:szCs w:val="24"/>
                <w:lang w:val="en-GB"/>
              </w:rPr>
            </w:pPr>
            <w:r w:rsidRPr="00311CED">
              <w:rPr>
                <w:rFonts w:ascii="Times New Roman" w:hAnsi="Times New Roman"/>
                <w:b/>
                <w:bCs/>
                <w:sz w:val="24"/>
                <w:szCs w:val="24"/>
                <w:lang w:val="en-GB"/>
              </w:rPr>
              <w:t>Source of Measure</w:t>
            </w:r>
          </w:p>
        </w:tc>
        <w:tc>
          <w:tcPr>
            <w:tcW w:w="6095" w:type="dxa"/>
            <w:tcMar>
              <w:top w:w="0" w:type="dxa"/>
              <w:left w:w="70" w:type="dxa"/>
              <w:bottom w:w="0" w:type="dxa"/>
              <w:right w:w="70" w:type="dxa"/>
            </w:tcMar>
          </w:tcPr>
          <w:p w:rsidR="00685AD8" w:rsidRPr="005E3F13" w:rsidRDefault="00525EAA" w:rsidP="00685AD8">
            <w:pPr>
              <w:pStyle w:val="ListeParagraf"/>
              <w:numPr>
                <w:ilvl w:val="0"/>
                <w:numId w:val="1"/>
              </w:numPr>
              <w:spacing w:after="0" w:line="240" w:lineRule="auto"/>
              <w:ind w:left="214" w:hanging="142"/>
              <w:contextualSpacing w:val="0"/>
              <w:jc w:val="both"/>
              <w:rPr>
                <w:rFonts w:ascii="Times New Roman" w:hAnsi="Times New Roman"/>
                <w:sz w:val="24"/>
                <w:szCs w:val="24"/>
                <w:lang w:val="en-GB"/>
              </w:rPr>
            </w:pPr>
            <w:hyperlink r:id="rId8" w:history="1">
              <w:r w:rsidR="00685AD8" w:rsidRPr="005E3F13">
                <w:rPr>
                  <w:rFonts w:ascii="Times New Roman" w:hAnsi="Times New Roman"/>
                  <w:sz w:val="24"/>
                  <w:szCs w:val="24"/>
                  <w:lang w:val="en-GB"/>
                </w:rPr>
                <w:t>Law No. 1567 Regarding the Protection of the Value of Turkish Currency</w:t>
              </w:r>
            </w:hyperlink>
            <w:r w:rsidR="00685AD8" w:rsidRPr="005E3F13">
              <w:rPr>
                <w:rFonts w:ascii="Times New Roman" w:hAnsi="Times New Roman"/>
                <w:sz w:val="24"/>
                <w:szCs w:val="24"/>
                <w:lang w:val="en-GB"/>
              </w:rPr>
              <w:t>,</w:t>
            </w:r>
          </w:p>
          <w:p w:rsidR="00685AD8" w:rsidRPr="00311CED" w:rsidRDefault="00525EAA" w:rsidP="00685AD8">
            <w:pPr>
              <w:pStyle w:val="ListeParagraf"/>
              <w:numPr>
                <w:ilvl w:val="0"/>
                <w:numId w:val="1"/>
              </w:numPr>
              <w:spacing w:after="0" w:line="240" w:lineRule="auto"/>
              <w:ind w:left="214" w:hanging="142"/>
              <w:contextualSpacing w:val="0"/>
              <w:jc w:val="both"/>
              <w:rPr>
                <w:rFonts w:ascii="Times New Roman" w:hAnsi="Times New Roman"/>
                <w:sz w:val="24"/>
                <w:szCs w:val="24"/>
                <w:lang w:val="en-GB"/>
              </w:rPr>
            </w:pPr>
            <w:hyperlink r:id="rId9" w:history="1">
              <w:r w:rsidR="00685AD8" w:rsidRPr="005E3F13">
                <w:rPr>
                  <w:rFonts w:ascii="Times New Roman" w:hAnsi="Times New Roman"/>
                  <w:sz w:val="24"/>
                  <w:szCs w:val="24"/>
                  <w:lang w:val="en-GB"/>
                </w:rPr>
                <w:t>Decree No.32 on the Protection of the Value of Turkish Currency</w:t>
              </w:r>
            </w:hyperlink>
          </w:p>
        </w:tc>
      </w:tr>
    </w:tbl>
    <w:p w:rsidR="00685AD8" w:rsidRPr="00311CED" w:rsidRDefault="00685AD8" w:rsidP="00685AD8">
      <w:pPr>
        <w:spacing w:after="0" w:line="240" w:lineRule="auto"/>
        <w:rPr>
          <w:rFonts w:ascii="Times New Roman" w:hAnsi="Times New Roman"/>
          <w:sz w:val="24"/>
          <w:szCs w:val="24"/>
          <w:lang w:val="en-GB"/>
        </w:rPr>
      </w:pPr>
      <w:r w:rsidRPr="00311CED">
        <w:rPr>
          <w:rFonts w:ascii="Times New Roman" w:hAnsi="Times New Roman"/>
          <w:sz w:val="24"/>
          <w:szCs w:val="24"/>
          <w:lang w:val="en-GB"/>
        </w:rPr>
        <w:br w:type="page"/>
      </w: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 xml:space="preserve">7.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color w:val="000000"/>
                <w:sz w:val="24"/>
                <w:szCs w:val="24"/>
                <w:lang w:val="en-GB"/>
              </w:rPr>
            </w:pPr>
            <w:r w:rsidRPr="00311CED">
              <w:rPr>
                <w:rFonts w:ascii="Times New Roman" w:hAnsi="Times New Roman"/>
                <w:color w:val="000000"/>
                <w:sz w:val="24"/>
                <w:szCs w:val="24"/>
                <w:lang w:val="en-GB"/>
              </w:rPr>
              <w:t>Participation in issues of all kinds of securities, including underwriting and placement as agent and provision of service related to such issues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eastAsia="Times New Roman" w:hAnsi="Times New Roman"/>
                <w:b/>
                <w:sz w:val="24"/>
                <w:szCs w:val="24"/>
                <w:lang w:val="en-GB"/>
              </w:rPr>
              <w:t>Type of Reservation</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eastAsia="Times New Roman" w:hAnsi="Times New Roman"/>
                <w:b/>
                <w:sz w:val="24"/>
                <w:szCs w:val="24"/>
                <w:lang w:val="en-GB"/>
              </w:rPr>
            </w:pPr>
            <w:r w:rsidRPr="00311CED">
              <w:rPr>
                <w:rFonts w:ascii="Times New Roman" w:eastAsia="Times New Roman" w:hAnsi="Times New Roman"/>
                <w:b/>
                <w:sz w:val="24"/>
                <w:szCs w:val="24"/>
                <w:lang w:val="en-GB"/>
              </w:rPr>
              <w:t>Description of Reservation</w:t>
            </w:r>
          </w:p>
          <w:p w:rsidR="00685AD8" w:rsidRPr="00311CED" w:rsidRDefault="00685AD8" w:rsidP="00B116E4">
            <w:pPr>
              <w:autoSpaceDE w:val="0"/>
              <w:autoSpaceDN w:val="0"/>
              <w:adjustRightInd w:val="0"/>
              <w:spacing w:after="0" w:line="240" w:lineRule="auto"/>
              <w:jc w:val="both"/>
              <w:rPr>
                <w:rFonts w:ascii="Times New Roman" w:hAnsi="Times New Roman"/>
                <w:b/>
                <w:sz w:val="24"/>
                <w:szCs w:val="24"/>
                <w:lang w:val="en-GB"/>
              </w:rPr>
            </w:pPr>
          </w:p>
        </w:tc>
        <w:tc>
          <w:tcPr>
            <w:tcW w:w="6095" w:type="dxa"/>
          </w:tcPr>
          <w:p w:rsidR="00685AD8" w:rsidRPr="00311CED" w:rsidRDefault="00685AD8" w:rsidP="00B116E4">
            <w:pPr>
              <w:autoSpaceDE w:val="0"/>
              <w:autoSpaceDN w:val="0"/>
              <w:adjustRightInd w:val="0"/>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Turkey reserves the right to adopt or maintain any measure relating to:</w:t>
            </w:r>
          </w:p>
          <w:p w:rsidR="00685AD8" w:rsidRPr="00311CED" w:rsidRDefault="00685AD8" w:rsidP="00685AD8">
            <w:pPr>
              <w:pStyle w:val="ListeParagraf"/>
              <w:numPr>
                <w:ilvl w:val="0"/>
                <w:numId w:val="2"/>
              </w:numPr>
              <w:autoSpaceDE w:val="0"/>
              <w:autoSpaceDN w:val="0"/>
              <w:adjustRightInd w:val="0"/>
              <w:spacing w:after="0" w:line="240" w:lineRule="auto"/>
              <w:ind w:left="781" w:hanging="567"/>
              <w:jc w:val="both"/>
              <w:rPr>
                <w:rFonts w:ascii="Times New Roman" w:hAnsi="Times New Roman"/>
                <w:sz w:val="24"/>
                <w:szCs w:val="24"/>
                <w:lang w:val="en-GB"/>
              </w:rPr>
            </w:pPr>
            <w:r w:rsidRPr="00311CED">
              <w:rPr>
                <w:rFonts w:ascii="Times New Roman" w:hAnsi="Times New Roman"/>
                <w:sz w:val="24"/>
                <w:szCs w:val="24"/>
                <w:lang w:val="en-GB"/>
              </w:rPr>
              <w:t xml:space="preserve">Membership in exchanges, </w:t>
            </w:r>
          </w:p>
          <w:p w:rsidR="00685AD8" w:rsidRPr="00311CED" w:rsidRDefault="00685AD8" w:rsidP="00B116E4">
            <w:pPr>
              <w:pStyle w:val="ListeParagraf"/>
              <w:autoSpaceDE w:val="0"/>
              <w:autoSpaceDN w:val="0"/>
              <w:adjustRightInd w:val="0"/>
              <w:spacing w:after="0" w:line="240" w:lineRule="auto"/>
              <w:ind w:left="781"/>
              <w:jc w:val="both"/>
              <w:rPr>
                <w:rFonts w:ascii="Times New Roman" w:hAnsi="Times New Roman"/>
                <w:sz w:val="24"/>
                <w:szCs w:val="24"/>
                <w:lang w:val="en-GB"/>
              </w:rPr>
            </w:pPr>
          </w:p>
          <w:p w:rsidR="00685AD8" w:rsidRPr="00311CED" w:rsidRDefault="00685AD8" w:rsidP="00685AD8">
            <w:pPr>
              <w:pStyle w:val="ListeParagraf"/>
              <w:numPr>
                <w:ilvl w:val="0"/>
                <w:numId w:val="2"/>
              </w:numPr>
              <w:autoSpaceDE w:val="0"/>
              <w:autoSpaceDN w:val="0"/>
              <w:adjustRightInd w:val="0"/>
              <w:spacing w:after="0" w:line="240" w:lineRule="auto"/>
              <w:ind w:left="781" w:hanging="567"/>
              <w:jc w:val="both"/>
              <w:rPr>
                <w:rFonts w:ascii="Times New Roman" w:hAnsi="Times New Roman"/>
                <w:sz w:val="24"/>
                <w:szCs w:val="24"/>
                <w:lang w:val="en-GB"/>
              </w:rPr>
            </w:pPr>
            <w:r w:rsidRPr="00311CED">
              <w:rPr>
                <w:rFonts w:ascii="Times New Roman" w:hAnsi="Times New Roman"/>
                <w:sz w:val="24"/>
                <w:szCs w:val="24"/>
                <w:lang w:val="en-GB"/>
              </w:rPr>
              <w:t>Foreign acquisition of new and existing equity interests in exchanges and market operators.</w:t>
            </w:r>
          </w:p>
          <w:p w:rsidR="00685AD8" w:rsidRPr="00311CED" w:rsidRDefault="00685AD8" w:rsidP="00B116E4">
            <w:pPr>
              <w:pStyle w:val="ListeParagraf"/>
              <w:autoSpaceDE w:val="0"/>
              <w:autoSpaceDN w:val="0"/>
              <w:adjustRightInd w:val="0"/>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Borders>
              <w:top w:val="single" w:sz="4" w:space="0" w:color="auto"/>
              <w:left w:val="single" w:sz="4" w:space="0" w:color="auto"/>
              <w:bottom w:val="single" w:sz="4" w:space="0" w:color="auto"/>
              <w:right w:val="single" w:sz="4" w:space="0" w:color="auto"/>
            </w:tcBorders>
          </w:tcPr>
          <w:p w:rsidR="00685AD8" w:rsidRPr="00311CED" w:rsidRDefault="00685AD8" w:rsidP="00B116E4">
            <w:pPr>
              <w:spacing w:after="0" w:line="240" w:lineRule="auto"/>
              <w:ind w:left="37"/>
              <w:rPr>
                <w:rFonts w:ascii="Times New Roman" w:eastAsia="Times New Roman" w:hAnsi="Times New Roman"/>
                <w:b/>
                <w:sz w:val="24"/>
                <w:szCs w:val="24"/>
                <w:lang w:val="en-GB"/>
              </w:rPr>
            </w:pPr>
            <w:r w:rsidRPr="00311CED">
              <w:rPr>
                <w:rFonts w:ascii="Times New Roman" w:eastAsia="Times New Roman" w:hAnsi="Times New Roman"/>
                <w:b/>
                <w:sz w:val="24"/>
                <w:szCs w:val="24"/>
                <w:lang w:val="en-GB"/>
              </w:rPr>
              <w:t>Source of Measure</w:t>
            </w:r>
          </w:p>
        </w:tc>
        <w:tc>
          <w:tcPr>
            <w:tcW w:w="6095" w:type="dxa"/>
            <w:tcBorders>
              <w:top w:val="single" w:sz="4" w:space="0" w:color="auto"/>
              <w:left w:val="single" w:sz="4" w:space="0" w:color="auto"/>
              <w:bottom w:val="single" w:sz="4" w:space="0" w:color="auto"/>
              <w:right w:val="single" w:sz="4" w:space="0" w:color="auto"/>
            </w:tcBorders>
          </w:tcPr>
          <w:p w:rsidR="00685AD8" w:rsidRPr="00311CED" w:rsidRDefault="00685AD8" w:rsidP="00B116E4">
            <w:pPr>
              <w:ind w:left="72" w:right="213"/>
              <w:jc w:val="both"/>
              <w:rPr>
                <w:rFonts w:ascii="Times New Roman" w:eastAsia="Times New Roman" w:hAnsi="Times New Roman"/>
                <w:sz w:val="24"/>
                <w:szCs w:val="24"/>
                <w:lang w:val="en-GB"/>
              </w:rPr>
            </w:pPr>
            <w:r w:rsidRPr="00311CED">
              <w:rPr>
                <w:rFonts w:ascii="Times New Roman" w:eastAsia="Times New Roman" w:hAnsi="Times New Roman"/>
                <w:sz w:val="24"/>
                <w:szCs w:val="24"/>
                <w:lang w:val="en-GB"/>
              </w:rPr>
              <w:t>-</w:t>
            </w:r>
          </w:p>
        </w:tc>
      </w:tr>
    </w:tbl>
    <w:p w:rsidR="00685AD8" w:rsidRPr="00311CED" w:rsidRDefault="00685AD8" w:rsidP="00685AD8">
      <w:pPr>
        <w:rPr>
          <w:rFonts w:ascii="Times New Roman" w:hAnsi="Times New Roman"/>
          <w:sz w:val="24"/>
          <w:szCs w:val="24"/>
          <w:lang w:val="en-GB"/>
        </w:rPr>
      </w:pPr>
      <w:r w:rsidRPr="00311CED">
        <w:rPr>
          <w:rFonts w:ascii="Times New Roman" w:hAnsi="Times New Roman"/>
          <w:sz w:val="24"/>
          <w:szCs w:val="24"/>
          <w:lang w:val="en-GB"/>
        </w:rPr>
        <w:br w:type="page"/>
      </w: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 xml:space="preserve">8.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Settlement and clearing services for financial assets, including securities, derivative products and other negotiable instruments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National Treatment (Article 10.3)</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Pr="00311CED" w:rsidRDefault="00685AD8" w:rsidP="00B116E4">
            <w:pPr>
              <w:pStyle w:val="Default"/>
              <w:jc w:val="both"/>
              <w:rPr>
                <w:lang w:val="en-GB"/>
              </w:rPr>
            </w:pPr>
            <w:r w:rsidRPr="00311CED">
              <w:rPr>
                <w:lang w:val="en-GB"/>
              </w:rPr>
              <w:t xml:space="preserve">Turkey reserves the right to adopt or maintain any measure relating to the supply of clearing and settlement services </w:t>
            </w:r>
            <w:r w:rsidRPr="00311CED">
              <w:rPr>
                <w:color w:val="auto"/>
                <w:lang w:val="en-GB"/>
              </w:rPr>
              <w:t xml:space="preserve">for capital market instruments that are traded on the exchange and subject to central clearing. </w:t>
            </w: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ind w:left="72" w:right="213"/>
              <w:jc w:val="both"/>
              <w:rPr>
                <w:rFonts w:ascii="Times New Roman" w:hAnsi="Times New Roman"/>
                <w:sz w:val="24"/>
                <w:szCs w:val="24"/>
                <w:lang w:val="en-GB"/>
              </w:rPr>
            </w:pPr>
            <w:r w:rsidRPr="00311CED">
              <w:rPr>
                <w:rFonts w:ascii="Times New Roman" w:hAnsi="Times New Roman"/>
                <w:sz w:val="24"/>
                <w:szCs w:val="24"/>
                <w:lang w:val="en-GB"/>
              </w:rPr>
              <w:t>-</w:t>
            </w:r>
          </w:p>
        </w:tc>
      </w:tr>
    </w:tbl>
    <w:p w:rsidR="00685AD8" w:rsidRPr="00311CED" w:rsidRDefault="00685AD8" w:rsidP="00685AD8">
      <w:pPr>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sz w:val="24"/>
          <w:szCs w:val="24"/>
          <w:lang w:val="en-GB"/>
        </w:rPr>
      </w:pPr>
    </w:p>
    <w:p w:rsidR="00685AD8" w:rsidRPr="00311CED" w:rsidRDefault="00685AD8" w:rsidP="00685AD8">
      <w:pPr>
        <w:rPr>
          <w:rFonts w:ascii="Times New Roman" w:hAnsi="Times New Roman"/>
          <w:b/>
          <w:sz w:val="24"/>
          <w:szCs w:val="24"/>
          <w:lang w:val="en-GB"/>
        </w:rPr>
      </w:pPr>
      <w:r w:rsidRPr="00311CED">
        <w:rPr>
          <w:rFonts w:ascii="Times New Roman" w:hAnsi="Times New Roman"/>
          <w:b/>
          <w:sz w:val="24"/>
          <w:szCs w:val="24"/>
          <w:lang w:val="en-GB"/>
        </w:rPr>
        <w:br w:type="page"/>
      </w:r>
    </w:p>
    <w:p w:rsidR="00685AD8" w:rsidRPr="00311CED" w:rsidRDefault="00685AD8" w:rsidP="00685AD8">
      <w:pPr>
        <w:spacing w:after="0" w:line="240" w:lineRule="auto"/>
        <w:jc w:val="center"/>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9.</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All Financial Services</w:t>
            </w: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data processing and provision and transfer of related software by suppliers of other financial services</w:t>
            </w:r>
          </w:p>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National Treatment (Article 10.3)</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Cross-Border Trade in Financial Services (Article 10.5)</w:t>
            </w:r>
          </w:p>
          <w:p w:rsidR="00685AD8" w:rsidRPr="00311CED" w:rsidRDefault="00685AD8" w:rsidP="00B116E4">
            <w:pPr>
              <w:spacing w:after="0" w:line="240" w:lineRule="auto"/>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Pr="00311CED" w:rsidRDefault="00685AD8" w:rsidP="00B116E4">
            <w:pPr>
              <w:keepNext/>
              <w:shd w:val="clear" w:color="auto" w:fill="FFFFFF"/>
              <w:tabs>
                <w:tab w:val="left" w:pos="0"/>
              </w:tabs>
              <w:spacing w:after="0" w:line="240" w:lineRule="auto"/>
              <w:ind w:right="213"/>
              <w:jc w:val="both"/>
              <w:rPr>
                <w:rFonts w:ascii="Times New Roman" w:hAnsi="Times New Roman"/>
                <w:sz w:val="24"/>
                <w:szCs w:val="24"/>
                <w:lang w:val="en-GB"/>
              </w:rPr>
            </w:pPr>
            <w:r w:rsidRPr="00311CED">
              <w:rPr>
                <w:rFonts w:ascii="Times New Roman" w:hAnsi="Times New Roman"/>
                <w:sz w:val="24"/>
                <w:szCs w:val="24"/>
                <w:lang w:val="en-GB"/>
              </w:rPr>
              <w:t>Turkey reserves the right to adopt or maintain any measure relating to financial data processing and provision and transfer of related software by suppliers of other financial services.</w:t>
            </w:r>
          </w:p>
          <w:p w:rsidR="00685AD8" w:rsidRPr="00311CED" w:rsidRDefault="00685AD8" w:rsidP="00B116E4">
            <w:pPr>
              <w:keepNext/>
              <w:shd w:val="clear" w:color="auto" w:fill="FFFFFF"/>
              <w:tabs>
                <w:tab w:val="left" w:pos="0"/>
              </w:tabs>
              <w:spacing w:after="0" w:line="240" w:lineRule="auto"/>
              <w:ind w:right="213"/>
              <w:jc w:val="both"/>
              <w:rPr>
                <w:rFonts w:ascii="Times New Roman" w:hAnsi="Times New Roman"/>
                <w:sz w:val="24"/>
                <w:szCs w:val="24"/>
                <w:lang w:val="en-GB"/>
              </w:rPr>
            </w:pPr>
          </w:p>
          <w:p w:rsidR="00685AD8" w:rsidRPr="00311CED" w:rsidRDefault="00685AD8" w:rsidP="00B116E4">
            <w:pPr>
              <w:keepNext/>
              <w:shd w:val="clear" w:color="auto" w:fill="FFFFFF"/>
              <w:tabs>
                <w:tab w:val="left" w:pos="0"/>
              </w:tabs>
              <w:spacing w:after="0" w:line="240" w:lineRule="auto"/>
              <w:ind w:right="213"/>
              <w:jc w:val="both"/>
              <w:rPr>
                <w:rFonts w:ascii="Times New Roman" w:hAnsi="Times New Roman"/>
                <w:sz w:val="24"/>
                <w:szCs w:val="24"/>
                <w:lang w:val="en-GB"/>
              </w:rPr>
            </w:pPr>
            <w:r w:rsidRPr="00311CED">
              <w:rPr>
                <w:rFonts w:ascii="Times New Roman" w:hAnsi="Times New Roman"/>
                <w:sz w:val="24"/>
                <w:szCs w:val="24"/>
                <w:lang w:val="en-GB"/>
              </w:rPr>
              <w:t xml:space="preserve">Mandatory localisation requirements apply for the information systems of financial institutions. All financial service providers are required to establish and maintain data processing </w:t>
            </w:r>
            <w:proofErr w:type="spellStart"/>
            <w:r w:rsidRPr="00311CED">
              <w:rPr>
                <w:rFonts w:ascii="Times New Roman" w:hAnsi="Times New Roman"/>
                <w:sz w:val="24"/>
                <w:szCs w:val="24"/>
                <w:lang w:val="en-GB"/>
              </w:rPr>
              <w:t>centers</w:t>
            </w:r>
            <w:proofErr w:type="spellEnd"/>
            <w:r w:rsidRPr="00311CED">
              <w:rPr>
                <w:rFonts w:ascii="Times New Roman" w:hAnsi="Times New Roman"/>
                <w:sz w:val="24"/>
                <w:szCs w:val="24"/>
                <w:lang w:val="en-GB"/>
              </w:rPr>
              <w:t xml:space="preserve"> (both primary information systems</w:t>
            </w:r>
            <w:r w:rsidRPr="00311CED">
              <w:rPr>
                <w:rFonts w:ascii="Times New Roman" w:hAnsi="Times New Roman"/>
                <w:sz w:val="24"/>
                <w:szCs w:val="24"/>
                <w:vertAlign w:val="superscript"/>
                <w:lang w:val="en-GB"/>
              </w:rPr>
              <w:footnoteReference w:id="1"/>
            </w:r>
            <w:r w:rsidRPr="00311CED">
              <w:rPr>
                <w:rFonts w:ascii="Times New Roman" w:hAnsi="Times New Roman"/>
                <w:sz w:val="24"/>
                <w:szCs w:val="24"/>
                <w:lang w:val="en-GB"/>
              </w:rPr>
              <w:t xml:space="preserve">  and their backups) in Turkey for the storage and processing of data.</w:t>
            </w: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keepNext/>
              <w:shd w:val="clear" w:color="auto" w:fill="FFFFFF"/>
              <w:tabs>
                <w:tab w:val="left" w:pos="0"/>
              </w:tabs>
              <w:rPr>
                <w:rFonts w:ascii="Times New Roman" w:hAnsi="Times New Roman"/>
                <w:sz w:val="24"/>
                <w:szCs w:val="24"/>
                <w:lang w:val="en-GB"/>
              </w:rPr>
            </w:pPr>
            <w:r w:rsidRPr="00311CED">
              <w:rPr>
                <w:rFonts w:ascii="Times New Roman" w:hAnsi="Times New Roman"/>
                <w:sz w:val="24"/>
                <w:szCs w:val="24"/>
                <w:lang w:val="en-GB"/>
              </w:rPr>
              <w:t>-</w:t>
            </w:r>
          </w:p>
        </w:tc>
      </w:tr>
    </w:tbl>
    <w:p w:rsidR="00685AD8" w:rsidRPr="00311CED" w:rsidRDefault="00685AD8" w:rsidP="00685AD8">
      <w:pPr>
        <w:spacing w:after="0" w:line="240" w:lineRule="auto"/>
        <w:jc w:val="center"/>
        <w:rPr>
          <w:rFonts w:ascii="Times New Roman" w:hAnsi="Times New Roman"/>
          <w:b/>
          <w:sz w:val="24"/>
          <w:szCs w:val="24"/>
          <w:lang w:val="en-GB"/>
        </w:rPr>
      </w:pPr>
      <w:r w:rsidRPr="00311CED">
        <w:rPr>
          <w:rFonts w:ascii="Times New Roman" w:hAnsi="Times New Roman"/>
          <w:b/>
          <w:sz w:val="24"/>
          <w:szCs w:val="24"/>
          <w:lang w:val="en-GB"/>
        </w:rPr>
        <w:t xml:space="preserve"> </w:t>
      </w:r>
    </w:p>
    <w:p w:rsidR="00685AD8" w:rsidRPr="00311CED" w:rsidRDefault="00685AD8" w:rsidP="00685AD8">
      <w:pPr>
        <w:spacing w:after="0" w:line="240" w:lineRule="auto"/>
        <w:jc w:val="center"/>
        <w:rPr>
          <w:rFonts w:ascii="Times New Roman" w:hAnsi="Times New Roman"/>
          <w:b/>
          <w:sz w:val="24"/>
          <w:szCs w:val="24"/>
          <w:lang w:val="en-GB"/>
        </w:rPr>
      </w:pPr>
    </w:p>
    <w:p w:rsidR="00685AD8" w:rsidRPr="00311CED" w:rsidRDefault="00685AD8" w:rsidP="00685AD8">
      <w:pPr>
        <w:spacing w:after="0" w:line="240" w:lineRule="auto"/>
        <w:rPr>
          <w:rFonts w:ascii="Times New Roman" w:hAnsi="Times New Roman"/>
          <w:sz w:val="24"/>
          <w:szCs w:val="24"/>
          <w:lang w:val="en-GB"/>
        </w:rPr>
      </w:pPr>
    </w:p>
    <w:p w:rsidR="00685AD8" w:rsidRDefault="00685AD8" w:rsidP="00685AD8">
      <w:pPr>
        <w:spacing w:after="0" w:line="240" w:lineRule="auto"/>
        <w:rPr>
          <w:rFonts w:ascii="Times New Roman" w:hAnsi="Times New Roman"/>
          <w:b/>
          <w:sz w:val="24"/>
          <w:szCs w:val="24"/>
          <w:lang w:val="en-GB"/>
        </w:rPr>
      </w:pPr>
      <w:r>
        <w:rPr>
          <w:rFonts w:ascii="Times New Roman" w:hAnsi="Times New Roman"/>
          <w:b/>
          <w:sz w:val="24"/>
          <w:szCs w:val="24"/>
          <w:lang w:val="en-GB"/>
        </w:rPr>
        <w:br w:type="page"/>
      </w:r>
    </w:p>
    <w:p w:rsidR="00685AD8" w:rsidRPr="00311CED" w:rsidRDefault="00685AD8" w:rsidP="00685AD8">
      <w:pPr>
        <w:spacing w:after="0" w:line="240" w:lineRule="auto"/>
        <w:rPr>
          <w:rFonts w:ascii="Times New Roman" w:hAnsi="Times New Roman"/>
          <w:b/>
          <w:sz w:val="24"/>
          <w:szCs w:val="24"/>
          <w:lang w:val="en-GB"/>
        </w:rPr>
      </w:pPr>
      <w:r>
        <w:rPr>
          <w:rFonts w:ascii="Times New Roman" w:hAnsi="Times New Roman"/>
          <w:b/>
          <w:sz w:val="24"/>
          <w:szCs w:val="24"/>
          <w:lang w:val="en-GB"/>
        </w:rPr>
        <w:lastRenderedPageBreak/>
        <w:t>10.</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85AD8" w:rsidRPr="00311CED" w:rsidTr="00B116E4">
        <w:trPr>
          <w:trHeight w:val="346"/>
        </w:trPr>
        <w:tc>
          <w:tcPr>
            <w:tcW w:w="3014" w:type="dxa"/>
          </w:tcPr>
          <w:p w:rsidR="00685AD8" w:rsidRPr="00311CED" w:rsidRDefault="00685AD8" w:rsidP="00B116E4">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All Financial Services</w:t>
            </w:r>
          </w:p>
        </w:tc>
      </w:tr>
      <w:tr w:rsidR="00685AD8" w:rsidRPr="00311CED" w:rsidTr="00B116E4">
        <w:trPr>
          <w:trHeight w:val="309"/>
        </w:trPr>
        <w:tc>
          <w:tcPr>
            <w:tcW w:w="3014" w:type="dxa"/>
          </w:tcPr>
          <w:p w:rsidR="00685AD8" w:rsidRPr="00311CED" w:rsidRDefault="00685AD8" w:rsidP="00B116E4">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p>
        </w:tc>
      </w:tr>
      <w:tr w:rsidR="00685AD8" w:rsidRPr="00311CED" w:rsidTr="00B116E4">
        <w:trPr>
          <w:trHeight w:val="630"/>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National Treatment (Article 10.3)</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 for Financial Institutions (Article 10.4)</w:t>
            </w:r>
          </w:p>
          <w:p w:rsidR="00685AD8" w:rsidRPr="00311CED" w:rsidRDefault="00685AD8" w:rsidP="00B116E4">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Cross-Border Trade in Financial Services (Article 10.5)</w:t>
            </w:r>
          </w:p>
          <w:p w:rsidR="00685AD8" w:rsidRPr="00311CED" w:rsidRDefault="00685AD8" w:rsidP="00B116E4">
            <w:pPr>
              <w:spacing w:after="0" w:line="240" w:lineRule="auto"/>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rsidR="00685AD8" w:rsidRDefault="00685AD8" w:rsidP="00B116E4">
            <w:pPr>
              <w:keepNext/>
              <w:shd w:val="clear" w:color="auto" w:fill="FFFFFF"/>
              <w:tabs>
                <w:tab w:val="left" w:pos="0"/>
              </w:tabs>
              <w:spacing w:after="0" w:line="240" w:lineRule="auto"/>
              <w:ind w:right="213"/>
              <w:jc w:val="both"/>
              <w:rPr>
                <w:rFonts w:ascii="Times New Roman" w:hAnsi="Times New Roman"/>
                <w:sz w:val="24"/>
                <w:szCs w:val="24"/>
                <w:lang w:val="en-GB"/>
              </w:rPr>
            </w:pPr>
            <w:r w:rsidRPr="000F00FE">
              <w:rPr>
                <w:rFonts w:ascii="Times New Roman" w:hAnsi="Times New Roman"/>
                <w:sz w:val="24"/>
                <w:szCs w:val="24"/>
                <w:lang w:val="en-GB"/>
              </w:rPr>
              <w:t xml:space="preserve">Turkey reserves the right to adopt or maintain any measure affecting the supply of </w:t>
            </w:r>
            <w:r>
              <w:rPr>
                <w:rFonts w:ascii="Times New Roman" w:hAnsi="Times New Roman"/>
                <w:sz w:val="24"/>
                <w:szCs w:val="24"/>
                <w:lang w:val="en-GB"/>
              </w:rPr>
              <w:t xml:space="preserve">a </w:t>
            </w:r>
            <w:r w:rsidRPr="000F00FE">
              <w:rPr>
                <w:rFonts w:ascii="Times New Roman" w:hAnsi="Times New Roman"/>
                <w:sz w:val="24"/>
                <w:szCs w:val="24"/>
                <w:lang w:val="en-GB"/>
              </w:rPr>
              <w:t>financial service in its territory by a national of Singapore, subject to the provisions of Chapter 11 (Temporary Movement of Natural Persons)</w:t>
            </w:r>
            <w:r w:rsidRPr="00311CED">
              <w:rPr>
                <w:rFonts w:ascii="Times New Roman" w:hAnsi="Times New Roman"/>
                <w:sz w:val="24"/>
                <w:szCs w:val="24"/>
                <w:lang w:val="en-GB"/>
              </w:rPr>
              <w:t>.</w:t>
            </w:r>
          </w:p>
          <w:p w:rsidR="00685AD8" w:rsidRPr="00311CED" w:rsidRDefault="00685AD8" w:rsidP="00B116E4">
            <w:pPr>
              <w:keepNext/>
              <w:shd w:val="clear" w:color="auto" w:fill="FFFFFF"/>
              <w:tabs>
                <w:tab w:val="left" w:pos="0"/>
              </w:tabs>
              <w:spacing w:after="0" w:line="240" w:lineRule="auto"/>
              <w:ind w:right="213"/>
              <w:jc w:val="both"/>
              <w:rPr>
                <w:rFonts w:ascii="Times New Roman" w:hAnsi="Times New Roman"/>
                <w:sz w:val="24"/>
                <w:szCs w:val="24"/>
                <w:lang w:val="en-GB"/>
              </w:rPr>
            </w:pPr>
          </w:p>
        </w:tc>
      </w:tr>
      <w:tr w:rsidR="00685AD8" w:rsidRPr="00311CED" w:rsidTr="00B116E4">
        <w:trPr>
          <w:trHeight w:val="283"/>
        </w:trPr>
        <w:tc>
          <w:tcPr>
            <w:tcW w:w="3014" w:type="dxa"/>
          </w:tcPr>
          <w:p w:rsidR="00685AD8" w:rsidRPr="00311CED" w:rsidRDefault="00685AD8" w:rsidP="00B116E4">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rsidR="00685AD8" w:rsidRPr="00311CED" w:rsidRDefault="00685AD8" w:rsidP="00B116E4">
            <w:pPr>
              <w:keepNext/>
              <w:shd w:val="clear" w:color="auto" w:fill="FFFFFF"/>
              <w:tabs>
                <w:tab w:val="left" w:pos="0"/>
              </w:tabs>
              <w:rPr>
                <w:rFonts w:ascii="Times New Roman" w:hAnsi="Times New Roman"/>
                <w:sz w:val="24"/>
                <w:szCs w:val="24"/>
                <w:lang w:val="en-GB"/>
              </w:rPr>
            </w:pPr>
            <w:r w:rsidRPr="00311CED">
              <w:rPr>
                <w:rFonts w:ascii="Times New Roman" w:hAnsi="Times New Roman"/>
                <w:sz w:val="24"/>
                <w:szCs w:val="24"/>
                <w:lang w:val="en-GB"/>
              </w:rPr>
              <w:t>-</w:t>
            </w:r>
          </w:p>
        </w:tc>
      </w:tr>
    </w:tbl>
    <w:p w:rsidR="00685AD8" w:rsidRPr="00311CED" w:rsidRDefault="00685AD8" w:rsidP="00685AD8">
      <w:pPr>
        <w:spacing w:after="0" w:line="240" w:lineRule="auto"/>
        <w:jc w:val="center"/>
        <w:rPr>
          <w:rFonts w:ascii="Times New Roman" w:hAnsi="Times New Roman"/>
          <w:b/>
          <w:sz w:val="24"/>
          <w:szCs w:val="24"/>
          <w:lang w:val="en-GB"/>
        </w:rPr>
      </w:pPr>
    </w:p>
    <w:p w:rsidR="00685AD8" w:rsidRPr="00311CED" w:rsidRDefault="00685AD8" w:rsidP="00685AD8">
      <w:pPr>
        <w:spacing w:after="0" w:line="240" w:lineRule="auto"/>
        <w:jc w:val="center"/>
        <w:rPr>
          <w:rFonts w:ascii="Times New Roman" w:hAnsi="Times New Roman"/>
          <w:b/>
          <w:sz w:val="24"/>
          <w:szCs w:val="24"/>
          <w:lang w:val="en-GB"/>
        </w:rPr>
      </w:pPr>
    </w:p>
    <w:p w:rsidR="00685AD8" w:rsidRPr="00311CED" w:rsidRDefault="00685AD8" w:rsidP="00685AD8">
      <w:pPr>
        <w:spacing w:after="0" w:line="240" w:lineRule="auto"/>
        <w:jc w:val="center"/>
        <w:rPr>
          <w:rFonts w:ascii="Times New Roman" w:hAnsi="Times New Roman"/>
          <w:b/>
          <w:sz w:val="24"/>
          <w:szCs w:val="24"/>
          <w:lang w:val="en-GB"/>
        </w:rPr>
      </w:pPr>
    </w:p>
    <w:p w:rsidR="00685AD8" w:rsidRPr="00311CED" w:rsidRDefault="00685AD8" w:rsidP="00685AD8">
      <w:pPr>
        <w:jc w:val="center"/>
        <w:rPr>
          <w:rFonts w:ascii="Times New Roman" w:hAnsi="Times New Roman"/>
          <w:sz w:val="24"/>
          <w:szCs w:val="24"/>
          <w:lang w:val="en-GB"/>
        </w:rPr>
      </w:pPr>
    </w:p>
    <w:p w:rsidR="00685AD8" w:rsidRPr="00311CED" w:rsidRDefault="00685AD8" w:rsidP="00685AD8">
      <w:pPr>
        <w:spacing w:after="0" w:line="240" w:lineRule="auto"/>
        <w:jc w:val="center"/>
        <w:rPr>
          <w:rFonts w:ascii="Times New Roman" w:hAnsi="Times New Roman"/>
          <w:b/>
          <w:sz w:val="24"/>
          <w:szCs w:val="24"/>
          <w:lang w:val="en-GB"/>
        </w:rPr>
      </w:pPr>
    </w:p>
    <w:p w:rsidR="00685AD8" w:rsidRDefault="00685AD8"/>
    <w:p w:rsidR="00685AD8" w:rsidRPr="00685AD8" w:rsidRDefault="00685AD8"/>
    <w:sectPr w:rsidR="00685AD8" w:rsidRPr="00685AD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AD8" w:rsidRDefault="00685AD8" w:rsidP="00685AD8">
      <w:pPr>
        <w:spacing w:after="0" w:line="240" w:lineRule="auto"/>
      </w:pPr>
      <w:r>
        <w:separator/>
      </w:r>
    </w:p>
  </w:endnote>
  <w:endnote w:type="continuationSeparator" w:id="0">
    <w:p w:rsidR="00685AD8" w:rsidRDefault="00685AD8" w:rsidP="00685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234848"/>
      <w:docPartObj>
        <w:docPartGallery w:val="Page Numbers (Bottom of Page)"/>
        <w:docPartUnique/>
      </w:docPartObj>
    </w:sdtPr>
    <w:sdtEndPr>
      <w:rPr>
        <w:rFonts w:ascii="Times New Roman" w:hAnsi="Times New Roman"/>
        <w:sz w:val="24"/>
        <w:szCs w:val="24"/>
      </w:rPr>
    </w:sdtEndPr>
    <w:sdtContent>
      <w:p w:rsidR="000F6CFD" w:rsidRPr="000F6CFD" w:rsidRDefault="000F6CFD">
        <w:pPr>
          <w:pStyle w:val="Altbilgi"/>
          <w:jc w:val="center"/>
          <w:rPr>
            <w:rFonts w:ascii="Times New Roman" w:hAnsi="Times New Roman"/>
            <w:sz w:val="24"/>
            <w:szCs w:val="24"/>
          </w:rPr>
        </w:pPr>
        <w:r w:rsidRPr="000F6CFD">
          <w:rPr>
            <w:rFonts w:ascii="Times New Roman" w:hAnsi="Times New Roman"/>
            <w:sz w:val="24"/>
            <w:szCs w:val="24"/>
          </w:rPr>
          <w:fldChar w:fldCharType="begin"/>
        </w:r>
        <w:r w:rsidRPr="000F6CFD">
          <w:rPr>
            <w:rFonts w:ascii="Times New Roman" w:hAnsi="Times New Roman"/>
            <w:sz w:val="24"/>
            <w:szCs w:val="24"/>
          </w:rPr>
          <w:instrText>PAGE   \* MERGEFORMAT</w:instrText>
        </w:r>
        <w:r w:rsidRPr="000F6CFD">
          <w:rPr>
            <w:rFonts w:ascii="Times New Roman" w:hAnsi="Times New Roman"/>
            <w:sz w:val="24"/>
            <w:szCs w:val="24"/>
          </w:rPr>
          <w:fldChar w:fldCharType="separate"/>
        </w:r>
        <w:r w:rsidR="00525EAA">
          <w:rPr>
            <w:rFonts w:ascii="Times New Roman" w:hAnsi="Times New Roman"/>
            <w:noProof/>
            <w:sz w:val="24"/>
            <w:szCs w:val="24"/>
          </w:rPr>
          <w:t>2</w:t>
        </w:r>
        <w:r w:rsidRPr="000F6CFD">
          <w:rPr>
            <w:rFonts w:ascii="Times New Roman" w:hAnsi="Times New Roman"/>
            <w:sz w:val="24"/>
            <w:szCs w:val="24"/>
          </w:rPr>
          <w:fldChar w:fldCharType="end"/>
        </w:r>
      </w:p>
    </w:sdtContent>
  </w:sdt>
  <w:p w:rsidR="000F6CFD" w:rsidRDefault="000F6CF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AD8" w:rsidRDefault="00685AD8" w:rsidP="00685AD8">
      <w:pPr>
        <w:spacing w:after="0" w:line="240" w:lineRule="auto"/>
      </w:pPr>
      <w:r>
        <w:separator/>
      </w:r>
    </w:p>
  </w:footnote>
  <w:footnote w:type="continuationSeparator" w:id="0">
    <w:p w:rsidR="00685AD8" w:rsidRDefault="00685AD8" w:rsidP="00685AD8">
      <w:pPr>
        <w:spacing w:after="0" w:line="240" w:lineRule="auto"/>
      </w:pPr>
      <w:r>
        <w:continuationSeparator/>
      </w:r>
    </w:p>
  </w:footnote>
  <w:footnote w:id="1">
    <w:p w:rsidR="00685AD8" w:rsidRDefault="00685AD8" w:rsidP="00685AD8">
      <w:pPr>
        <w:pStyle w:val="DipnotMetni"/>
        <w:jc w:val="both"/>
      </w:pPr>
      <w:r w:rsidRPr="00005A97">
        <w:rPr>
          <w:sz w:val="20"/>
          <w:szCs w:val="20"/>
          <w:vertAlign w:val="superscript"/>
        </w:rPr>
        <w:footnoteRef/>
      </w:r>
      <w:r w:rsidRPr="00005A97">
        <w:rPr>
          <w:sz w:val="20"/>
          <w:szCs w:val="20"/>
        </w:rPr>
        <w:t xml:space="preserve"> Information systems comprise</w:t>
      </w:r>
      <w:r>
        <w:rPr>
          <w:sz w:val="20"/>
          <w:szCs w:val="20"/>
        </w:rPr>
        <w:t>s</w:t>
      </w:r>
      <w:r w:rsidRPr="00005A97">
        <w:rPr>
          <w:sz w:val="20"/>
          <w:szCs w:val="20"/>
        </w:rPr>
        <w:t xml:space="preserve"> infrastructure, hardware, software and data which ensure the execution of financial activities as well as the recording and use of information in electronic media in a secure manner and as to be accessed when needed.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CFD" w:rsidRPr="003756C7" w:rsidRDefault="000F6CFD" w:rsidP="000F6CFD">
    <w:pPr>
      <w:pStyle w:val="stbilgi"/>
      <w:jc w:val="right"/>
    </w:pPr>
    <w:r>
      <w:rPr>
        <w:rFonts w:ascii="Times New Roman" w:eastAsia="Malgun Gothic" w:hAnsi="Times New Roman" w:hint="eastAsia"/>
        <w:i/>
        <w:sz w:val="20"/>
        <w:szCs w:val="20"/>
        <w:lang w:val="en-GB" w:eastAsia="ko-KR"/>
      </w:rPr>
      <w:t>Annex 10-B Non-Conforming Measures for Financial Services (Schedule of Turkey)</w:t>
    </w:r>
  </w:p>
  <w:p w:rsidR="000F6CFD" w:rsidRDefault="000F6CFD" w:rsidP="000F6CFD">
    <w:pPr>
      <w:pStyle w:val="stbilgi"/>
      <w:jc w:val="right"/>
    </w:pPr>
  </w:p>
  <w:p w:rsidR="000F6CFD" w:rsidRDefault="000F6CF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07D87"/>
    <w:multiLevelType w:val="hybridMultilevel"/>
    <w:tmpl w:val="FE107A64"/>
    <w:lvl w:ilvl="0" w:tplc="5F48C034">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78F0A78"/>
    <w:multiLevelType w:val="hybridMultilevel"/>
    <w:tmpl w:val="B6B0FD10"/>
    <w:lvl w:ilvl="0" w:tplc="5B345142">
      <w:start w:val="3"/>
      <w:numFmt w:val="bullet"/>
      <w:lvlText w:val="-"/>
      <w:lvlJc w:val="left"/>
      <w:pPr>
        <w:ind w:left="3479"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AD8"/>
    <w:rsid w:val="000F6CFD"/>
    <w:rsid w:val="00115B37"/>
    <w:rsid w:val="00525EAA"/>
    <w:rsid w:val="005E3F13"/>
    <w:rsid w:val="00685AD8"/>
    <w:rsid w:val="00C634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D8"/>
    <w:rPr>
      <w:rFonts w:ascii="Calibri" w:eastAsia="Batang" w:hAnsi="Calibri"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85AD8"/>
    <w:pPr>
      <w:ind w:left="720"/>
      <w:contextualSpacing/>
    </w:pPr>
  </w:style>
  <w:style w:type="paragraph" w:styleId="DipnotMetni">
    <w:name w:val="footnote text"/>
    <w:aliases w:val="Final Footnote Text"/>
    <w:basedOn w:val="Normal"/>
    <w:link w:val="DipnotMetniChar"/>
    <w:uiPriority w:val="99"/>
    <w:rsid w:val="00685AD8"/>
    <w:pPr>
      <w:snapToGrid w:val="0"/>
      <w:spacing w:after="0" w:line="240" w:lineRule="auto"/>
    </w:pPr>
    <w:rPr>
      <w:rFonts w:ascii="Times New Roman" w:hAnsi="Times New Roman"/>
      <w:sz w:val="24"/>
      <w:szCs w:val="24"/>
      <w:lang w:val="en-US" w:eastAsia="ko-KR"/>
    </w:rPr>
  </w:style>
  <w:style w:type="character" w:customStyle="1" w:styleId="DipnotMetniChar">
    <w:name w:val="Dipnot Metni Char"/>
    <w:aliases w:val="Final Footnote Text Char"/>
    <w:basedOn w:val="VarsaylanParagrafYazTipi"/>
    <w:link w:val="DipnotMetni"/>
    <w:uiPriority w:val="99"/>
    <w:rsid w:val="00685AD8"/>
    <w:rPr>
      <w:rFonts w:ascii="Times New Roman" w:eastAsia="Batang" w:hAnsi="Times New Roman" w:cs="Times New Roman"/>
      <w:sz w:val="24"/>
      <w:szCs w:val="24"/>
      <w:lang w:val="en-US" w:eastAsia="ko-KR"/>
    </w:rPr>
  </w:style>
  <w:style w:type="character" w:styleId="Kpr">
    <w:name w:val="Hyperlink"/>
    <w:basedOn w:val="VarsaylanParagrafYazTipi"/>
    <w:uiPriority w:val="99"/>
    <w:semiHidden/>
    <w:rsid w:val="00685AD8"/>
    <w:rPr>
      <w:rFonts w:cs="Times New Roman"/>
      <w:color w:val="0000FF"/>
      <w:u w:val="single"/>
    </w:rPr>
  </w:style>
  <w:style w:type="paragraph" w:customStyle="1" w:styleId="Default">
    <w:name w:val="Default"/>
    <w:uiPriority w:val="99"/>
    <w:rsid w:val="00685AD8"/>
    <w:pPr>
      <w:autoSpaceDE w:val="0"/>
      <w:autoSpaceDN w:val="0"/>
      <w:adjustRightInd w:val="0"/>
      <w:spacing w:after="0" w:line="240" w:lineRule="auto"/>
    </w:pPr>
    <w:rPr>
      <w:rFonts w:ascii="Times New Roman" w:eastAsia="Batang" w:hAnsi="Times New Roman" w:cs="Times New Roman"/>
      <w:color w:val="000000"/>
      <w:sz w:val="24"/>
      <w:szCs w:val="24"/>
      <w:lang w:val="tr-TR"/>
    </w:rPr>
  </w:style>
  <w:style w:type="paragraph" w:styleId="stbilgi">
    <w:name w:val="header"/>
    <w:basedOn w:val="Normal"/>
    <w:link w:val="stbilgiChar"/>
    <w:uiPriority w:val="99"/>
    <w:unhideWhenUsed/>
    <w:rsid w:val="000F6C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6CFD"/>
    <w:rPr>
      <w:rFonts w:ascii="Calibri" w:eastAsia="Batang" w:hAnsi="Calibri" w:cs="Times New Roman"/>
      <w:lang w:val="tr-TR"/>
    </w:rPr>
  </w:style>
  <w:style w:type="paragraph" w:styleId="Altbilgi">
    <w:name w:val="footer"/>
    <w:basedOn w:val="Normal"/>
    <w:link w:val="AltbilgiChar"/>
    <w:uiPriority w:val="99"/>
    <w:unhideWhenUsed/>
    <w:rsid w:val="000F6C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6CFD"/>
    <w:rPr>
      <w:rFonts w:ascii="Calibri" w:eastAsia="Batang" w:hAnsi="Calibri" w:cs="Times New Roman"/>
      <w:lang w:val="tr-TR"/>
    </w:rPr>
  </w:style>
  <w:style w:type="paragraph" w:styleId="BalonMetni">
    <w:name w:val="Balloon Text"/>
    <w:basedOn w:val="Normal"/>
    <w:link w:val="BalonMetniChar"/>
    <w:uiPriority w:val="99"/>
    <w:semiHidden/>
    <w:unhideWhenUsed/>
    <w:rsid w:val="000F6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6CFD"/>
    <w:rPr>
      <w:rFonts w:ascii="Tahoma" w:eastAsia="Batang" w:hAnsi="Tahoma" w:cs="Tahoma"/>
      <w:sz w:val="16"/>
      <w:szCs w:val="16"/>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D8"/>
    <w:rPr>
      <w:rFonts w:ascii="Calibri" w:eastAsia="Batang" w:hAnsi="Calibri"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85AD8"/>
    <w:pPr>
      <w:ind w:left="720"/>
      <w:contextualSpacing/>
    </w:pPr>
  </w:style>
  <w:style w:type="paragraph" w:styleId="DipnotMetni">
    <w:name w:val="footnote text"/>
    <w:aliases w:val="Final Footnote Text"/>
    <w:basedOn w:val="Normal"/>
    <w:link w:val="DipnotMetniChar"/>
    <w:uiPriority w:val="99"/>
    <w:rsid w:val="00685AD8"/>
    <w:pPr>
      <w:snapToGrid w:val="0"/>
      <w:spacing w:after="0" w:line="240" w:lineRule="auto"/>
    </w:pPr>
    <w:rPr>
      <w:rFonts w:ascii="Times New Roman" w:hAnsi="Times New Roman"/>
      <w:sz w:val="24"/>
      <w:szCs w:val="24"/>
      <w:lang w:val="en-US" w:eastAsia="ko-KR"/>
    </w:rPr>
  </w:style>
  <w:style w:type="character" w:customStyle="1" w:styleId="DipnotMetniChar">
    <w:name w:val="Dipnot Metni Char"/>
    <w:aliases w:val="Final Footnote Text Char"/>
    <w:basedOn w:val="VarsaylanParagrafYazTipi"/>
    <w:link w:val="DipnotMetni"/>
    <w:uiPriority w:val="99"/>
    <w:rsid w:val="00685AD8"/>
    <w:rPr>
      <w:rFonts w:ascii="Times New Roman" w:eastAsia="Batang" w:hAnsi="Times New Roman" w:cs="Times New Roman"/>
      <w:sz w:val="24"/>
      <w:szCs w:val="24"/>
      <w:lang w:val="en-US" w:eastAsia="ko-KR"/>
    </w:rPr>
  </w:style>
  <w:style w:type="character" w:styleId="Kpr">
    <w:name w:val="Hyperlink"/>
    <w:basedOn w:val="VarsaylanParagrafYazTipi"/>
    <w:uiPriority w:val="99"/>
    <w:semiHidden/>
    <w:rsid w:val="00685AD8"/>
    <w:rPr>
      <w:rFonts w:cs="Times New Roman"/>
      <w:color w:val="0000FF"/>
      <w:u w:val="single"/>
    </w:rPr>
  </w:style>
  <w:style w:type="paragraph" w:customStyle="1" w:styleId="Default">
    <w:name w:val="Default"/>
    <w:uiPriority w:val="99"/>
    <w:rsid w:val="00685AD8"/>
    <w:pPr>
      <w:autoSpaceDE w:val="0"/>
      <w:autoSpaceDN w:val="0"/>
      <w:adjustRightInd w:val="0"/>
      <w:spacing w:after="0" w:line="240" w:lineRule="auto"/>
    </w:pPr>
    <w:rPr>
      <w:rFonts w:ascii="Times New Roman" w:eastAsia="Batang" w:hAnsi="Times New Roman" w:cs="Times New Roman"/>
      <w:color w:val="000000"/>
      <w:sz w:val="24"/>
      <w:szCs w:val="24"/>
      <w:lang w:val="tr-TR"/>
    </w:rPr>
  </w:style>
  <w:style w:type="paragraph" w:styleId="stbilgi">
    <w:name w:val="header"/>
    <w:basedOn w:val="Normal"/>
    <w:link w:val="stbilgiChar"/>
    <w:uiPriority w:val="99"/>
    <w:unhideWhenUsed/>
    <w:rsid w:val="000F6C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6CFD"/>
    <w:rPr>
      <w:rFonts w:ascii="Calibri" w:eastAsia="Batang" w:hAnsi="Calibri" w:cs="Times New Roman"/>
      <w:lang w:val="tr-TR"/>
    </w:rPr>
  </w:style>
  <w:style w:type="paragraph" w:styleId="Altbilgi">
    <w:name w:val="footer"/>
    <w:basedOn w:val="Normal"/>
    <w:link w:val="AltbilgiChar"/>
    <w:uiPriority w:val="99"/>
    <w:unhideWhenUsed/>
    <w:rsid w:val="000F6C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6CFD"/>
    <w:rPr>
      <w:rFonts w:ascii="Calibri" w:eastAsia="Batang" w:hAnsi="Calibri" w:cs="Times New Roman"/>
      <w:lang w:val="tr-TR"/>
    </w:rPr>
  </w:style>
  <w:style w:type="paragraph" w:styleId="BalonMetni">
    <w:name w:val="Balloon Text"/>
    <w:basedOn w:val="Normal"/>
    <w:link w:val="BalonMetniChar"/>
    <w:uiPriority w:val="99"/>
    <w:semiHidden/>
    <w:unhideWhenUsed/>
    <w:rsid w:val="000F6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6CFD"/>
    <w:rPr>
      <w:rFonts w:ascii="Tahoma" w:eastAsia="Batang"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tr/File/?path=ROOT%2f1%2fDocuments%2fExchange+Legislation%2f1567law.do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reasury.gov.tr/File/?path=ROOT%2f1%2fDocuments%2fExchange+Legislation%2fpart73548.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11</Pages>
  <Words>1333</Words>
  <Characters>7603</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abtoplanti</cp:lastModifiedBy>
  <cp:revision>4</cp:revision>
  <cp:lastPrinted>2015-11-13T12:23:00Z</cp:lastPrinted>
  <dcterms:created xsi:type="dcterms:W3CDTF">2015-11-13T10:34:00Z</dcterms:created>
  <dcterms:modified xsi:type="dcterms:W3CDTF">2015-11-13T13:46:00Z</dcterms:modified>
</cp:coreProperties>
</file>